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9" w:rsidRDefault="00BF1479" w:rsidP="00BF1479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исследовательской компетенции по биологии и экологии</w:t>
      </w:r>
    </w:p>
    <w:p w:rsidR="00BF1479" w:rsidRDefault="00BF1479" w:rsidP="00BF1479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средство достижения успешности ученика.</w:t>
      </w:r>
    </w:p>
    <w:p w:rsidR="00BF1479" w:rsidRDefault="00BF1479" w:rsidP="00BF14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1479" w:rsidRDefault="00BF1479" w:rsidP="00BF14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Трубенкова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Ивановна, учитель биологии высшей квалификационной категории МБОУ </w:t>
      </w:r>
      <w:proofErr w:type="spellStart"/>
      <w:r>
        <w:rPr>
          <w:rFonts w:ascii="Times New Roman" w:hAnsi="Times New Roman"/>
          <w:sz w:val="28"/>
          <w:szCs w:val="28"/>
        </w:rPr>
        <w:t>биотехнологический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лицей-интернат № 21 р.п. Кольцово</w:t>
      </w:r>
    </w:p>
    <w:p w:rsidR="00BF1479" w:rsidRDefault="00BF1479" w:rsidP="00BF147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F1479" w:rsidRDefault="00BF1479" w:rsidP="00BF1479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успеха в школе - к успеху в жизни</w:t>
      </w:r>
    </w:p>
    <w:p w:rsidR="00BF1479" w:rsidRDefault="00BF1479" w:rsidP="00BF1479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Жизнь в обществе меняется очень быстро, изменяется политический и общественный уклад, нравственные ориентиры и жизненные ценности. Важнейшими факторами устойчивого и успешного развития страны становится способность быстро адаптироваться к условиям международной конкуренции. Следовательно,  в настоящее время «</w:t>
      </w:r>
      <w:r>
        <w:rPr>
          <w:rFonts w:ascii="Times New Roman" w:hAnsi="Times New Roman"/>
          <w:b/>
          <w:i/>
          <w:sz w:val="28"/>
          <w:szCs w:val="28"/>
        </w:rPr>
        <w:t>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своей жизни</w:t>
      </w:r>
      <w:r>
        <w:rPr>
          <w:rFonts w:ascii="Times New Roman" w:hAnsi="Times New Roman"/>
          <w:sz w:val="28"/>
          <w:szCs w:val="28"/>
        </w:rPr>
        <w:t>» - отмечено в документе «Национальная образовательная инициатива «Наша новая школа».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связи с этим с</w:t>
      </w:r>
      <w:r>
        <w:rPr>
          <w:rFonts w:ascii="Times New Roman" w:hAnsi="Times New Roman"/>
          <w:sz w:val="28"/>
          <w:szCs w:val="28"/>
          <w:lang w:eastAsia="ru-RU"/>
        </w:rPr>
        <w:t xml:space="preserve">истема общего образования Российской Федерации переживает период активных преобразований. Мощный импульс этому процессу придал национальный проект "Образование". В условиях модернизации образования происходит вполне ожидаемая и естественная переориентация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подход, процесс формирования новой модели выпускника, который не только обладает определенным объемом знаний, умений и навыков в разных областях, полученных от учителя, а умеет сам получать и применять необходимые знания в соответствии с требованиями современной жизни. О</w:t>
      </w:r>
      <w:r>
        <w:rPr>
          <w:rFonts w:ascii="Times New Roman" w:hAnsi="Times New Roman"/>
          <w:sz w:val="28"/>
          <w:szCs w:val="28"/>
        </w:rPr>
        <w:t xml:space="preserve">сновная задача современной школы -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создание условий для развития потенциала молодого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компетентного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человека, самореализации личности и самоопределения. </w:t>
      </w:r>
    </w:p>
    <w:p w:rsidR="00BF1479" w:rsidRDefault="00BF1479" w:rsidP="00BF1479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Всем известно, что ч</w:t>
      </w:r>
      <w:r>
        <w:rPr>
          <w:sz w:val="28"/>
          <w:szCs w:val="28"/>
        </w:rPr>
        <w:t xml:space="preserve">еловек по сути своей исследователь. Любопытность, любознательность проявляется у человека с самого рождения – это один из способов познания окружающего мира. Замечали ли вы, сколько радости приносит ребенку любое, даже самое маленькое его «открытие», как он гордиться и дорожит тем, что </w:t>
      </w:r>
      <w:proofErr w:type="gramStart"/>
      <w:r>
        <w:rPr>
          <w:sz w:val="28"/>
          <w:szCs w:val="28"/>
        </w:rPr>
        <w:t>сделал</w:t>
      </w:r>
      <w:proofErr w:type="gramEnd"/>
      <w:r>
        <w:rPr>
          <w:sz w:val="28"/>
          <w:szCs w:val="28"/>
        </w:rPr>
        <w:t xml:space="preserve"> или узнал что-то сам? С возрастом, как показывает опыт, большинство ребят теряют способность к открытиям, становятся пассивными потребителями необходимого объема знаний, который даёт им учитель. Как вернуть ребенку интерес  к учебе, к открытиям? Как зажечь искорку любознательности в его глазах? Как сделать так, чтобы ребенок почувствовал радость успеха от своих маленьких и больших побед в учебе? Решение,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все знают, – нужно научить ребенка получать свои знания самостоятельно, только тогда они становятся наиболее ценными. «Знания только тогда знания, - писал Л.Н. Толстой, - когда они приобретены усилиями своей мысли, а не памятью».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Готовы ли наши дети к самостоятельности? В октябре 2012 года я решила выяснить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исследовательских умений у учащихся 5 классов. Анализ результатов диагностики показал, что  высоким уровнем мотивация к самостоятельной деятельности обладают только 28%  учащихся (рисунок 1), а высокий уровень познавательной активности характерен только для   12% учеников  (рисунок 2).  </w:t>
      </w:r>
    </w:p>
    <w:p w:rsidR="00BF1479" w:rsidRDefault="00BF1479" w:rsidP="00BF1479">
      <w:pPr>
        <w:pStyle w:val="a5"/>
        <w:jc w:val="center"/>
        <w:rPr>
          <w:rFonts w:ascii="Calibri" w:hAnsi="Calibri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819525" cy="14668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1479" w:rsidRDefault="00BF1479" w:rsidP="00BF147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479" w:rsidRDefault="00BF1479" w:rsidP="00BF1479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Рисунок 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Мотивация к самостоятельной деятельности по биологии в 2012 году. </w:t>
      </w:r>
      <w:proofErr w:type="gramStart"/>
      <w:r>
        <w:rPr>
          <w:rFonts w:ascii="Times New Roman" w:hAnsi="Times New Roman"/>
          <w:i/>
          <w:sz w:val="28"/>
          <w:szCs w:val="28"/>
        </w:rPr>
        <w:t>(Анкета для учащихся «Как вы относитесь к учебе по отдельным предметам?»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Т.И.Шамовой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BF1479" w:rsidRDefault="00BF1479" w:rsidP="00BF1479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BF1479" w:rsidRDefault="00BF1479" w:rsidP="00BF14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962400" cy="146685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1479" w:rsidRDefault="00BF1479" w:rsidP="00BF1479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Рисунок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Познавательная самостоятельность учащихся в 2012 году</w:t>
      </w:r>
    </w:p>
    <w:p w:rsidR="00BF1479" w:rsidRDefault="00BF1479" w:rsidP="00BF1479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(Методика экспертной оценки познавательной самостоятельности учащихся, составленная по материалам </w:t>
      </w:r>
      <w:proofErr w:type="spellStart"/>
      <w:r>
        <w:rPr>
          <w:rFonts w:ascii="Times New Roman" w:hAnsi="Times New Roman"/>
          <w:i/>
          <w:sz w:val="28"/>
          <w:szCs w:val="28"/>
        </w:rPr>
        <w:t>опросников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Ч.Д. Спилберга, А.К. </w:t>
      </w:r>
      <w:proofErr w:type="spellStart"/>
      <w:r>
        <w:rPr>
          <w:rFonts w:ascii="Times New Roman" w:hAnsi="Times New Roman"/>
          <w:i/>
          <w:sz w:val="28"/>
          <w:szCs w:val="28"/>
        </w:rPr>
        <w:t>Осницкого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BF1479" w:rsidRDefault="00BF1479" w:rsidP="00BF1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 мной, как учителем, встала проблема: как развить способности ребенка,  научить его самостоятельно думать и  принимать решения? </w:t>
      </w:r>
      <w:r>
        <w:rPr>
          <w:bCs/>
          <w:sz w:val="28"/>
          <w:szCs w:val="28"/>
        </w:rPr>
        <w:t xml:space="preserve">Решение проблемы подсказал опыт работы и сама жизнь. Биология - одна из наиболее практико-направленных дисциплин. Ее преподавание напрямую связано с процессом формирования самостоятельности ученика. </w:t>
      </w:r>
      <w:r>
        <w:rPr>
          <w:sz w:val="28"/>
          <w:szCs w:val="28"/>
        </w:rPr>
        <w:t xml:space="preserve">Древняя китайская мудрость гласит: «Расскажи мне, и я забуду, покажи мне, и я запомню, дай мне действовать самому – я пойму». Из существующего арсенала педагогических методов и технологий я выбрала исследовательскую деятельность, так как именно она служит примером </w:t>
      </w:r>
      <w:proofErr w:type="spellStart"/>
      <w:r>
        <w:rPr>
          <w:sz w:val="28"/>
          <w:szCs w:val="28"/>
        </w:rPr>
        <w:t>метапредметной</w:t>
      </w:r>
      <w:proofErr w:type="spellEnd"/>
      <w:r>
        <w:rPr>
          <w:sz w:val="28"/>
          <w:szCs w:val="28"/>
        </w:rPr>
        <w:t xml:space="preserve"> компетенции и напрямую связана с мыслительными, поисковыми, логическими, творческими процессами познания обучающихся.</w:t>
      </w:r>
    </w:p>
    <w:p w:rsidR="00BF1479" w:rsidRDefault="00BF1479" w:rsidP="00BF1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Расставляя приоритеты в своей работе, основной задачей я ставлю формирование исследовательской компетенции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ходе преподавания биологии. Достижение планируемого результата предполагает решение следующих задач:</w:t>
      </w:r>
    </w:p>
    <w:p w:rsidR="00BF1479" w:rsidRDefault="00BF1479" w:rsidP="00BF147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поэтапное, последовательное и комплексное включение учащихся в исследовательскую деятельность; </w:t>
      </w:r>
    </w:p>
    <w:p w:rsidR="00BF1479" w:rsidRDefault="00BF1479" w:rsidP="00BF147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постепенного продвижения школьников от действий в сотрудничестве с учителем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самостоятельным;</w:t>
      </w:r>
    </w:p>
    <w:p w:rsidR="00BF1479" w:rsidRDefault="00BF1479" w:rsidP="00BF147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наряду с традиционными формами организации учебных занятий нетрадиционных с целью формирования исследовательской компетенции;</w:t>
      </w:r>
    </w:p>
    <w:p w:rsidR="00BF1479" w:rsidRDefault="00BF1479" w:rsidP="00BF14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способов и приемов развития мотивационной и рефлексивной сферы для включения учащихся в активную и продуктивную деятельность.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Хуторский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рассматривает исследовательскую компетенцию, как сложную систему (совокупность) разных составляющих ключевых компетенций.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Исследовательская компетенция </w:t>
      </w:r>
      <w:r>
        <w:rPr>
          <w:rFonts w:ascii="Times New Roman" w:hAnsi="Times New Roman"/>
          <w:sz w:val="28"/>
          <w:szCs w:val="28"/>
        </w:rPr>
        <w:t>– это совокупность знаний в определенной области, наличие исследовательских умений (видеть и решать проблемы на основе выдвижения и обоснования гипотез, ставить цель и планировать деятельность, осуществлять сбор и анализ необходимой информации, выбирать наиболее оптимальные методы, выполнять эксперимент, представлять результаты исследования), наличие способности применять эти знания и умения в конкретной деятельности.</w:t>
      </w:r>
      <w:proofErr w:type="gramEnd"/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работе по формированию исследовательской компетентности учащихся я опираюсь на методические рекомендации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Феськовой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В. «Составляющие элементы исследовательской компетентности».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Четыре основных компонента исследовательской компетентности: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мотивационно-личностный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интеллектуально-творческий, когнитивный и действенно-операционный, находятся в тесном взаимодействии и взаимосвязи с такими компетенциями, как социально-трудовая, компетенция личностного самосовершенствования, учебно-познавательная, информационная, коммуникативная компетенции и компетенция личностного самосовершенствования (рисунок 3).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Мотивационный компонент определяет содержание формируемых ценностно-смысловой, социально-трудовой и компетенции личностного самосовершенствования.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Интеллектуально-творческий компонент формирует аспекты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учебно-познавательной компетенции. Когнитивный компонент определяет содержание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общекультурной, учебно-познавательной и информационной компетенций.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базе действенно-операционного  компонента формируются учебно-познавательная и коммуникативная компетенции.</w:t>
      </w:r>
      <w:proofErr w:type="gramEnd"/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color w:val="000000"/>
        </w:rPr>
      </w:pPr>
    </w:p>
    <w:p w:rsidR="00BF1479" w:rsidRDefault="00BF1479" w:rsidP="00BF14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>
        <w:rPr>
          <w:i/>
          <w:sz w:val="28"/>
          <w:szCs w:val="28"/>
        </w:rPr>
        <w:t>Рисунок 3</w:t>
      </w:r>
      <w:r>
        <w:rPr>
          <w:i/>
        </w:rPr>
        <w:t xml:space="preserve">. </w:t>
      </w:r>
      <w:r>
        <w:rPr>
          <w:bCs/>
          <w:i/>
          <w:sz w:val="28"/>
          <w:szCs w:val="28"/>
        </w:rPr>
        <w:t xml:space="preserve">Модель формирования исследовательской компетентности </w:t>
      </w:r>
      <w:proofErr w:type="gramStart"/>
      <w:r>
        <w:rPr>
          <w:bCs/>
          <w:i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64.05pt;height:616.05pt;mso-position-horizontal-relative:char;mso-position-vertical-relative:line" coordorigin="1494,954" coordsize="13860,9180">
            <v:rect id="_x0000_s1027" style="position:absolute;left:4734;top:954;width:7560;height:540">
              <v:textbox style="mso-next-textbox:#_x0000_s1027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ИССЛЕДОВАТЕЛЬСКАЯ КОМПЕТЕНТНОСТЬ</w:t>
                    </w:r>
                  </w:p>
                </w:txbxContent>
              </v:textbox>
            </v:rect>
            <v:rect id="_x0000_s1028" style="position:absolute;left:1674;top:1674;width:2700;height:1080">
              <v:textbox style="mso-next-textbox:#_x0000_s1028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Мотивационно-личностный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компонент</w:t>
                    </w:r>
                  </w:p>
                </w:txbxContent>
              </v:textbox>
            </v:rect>
            <v:rect id="_x0000_s1029" style="position:absolute;left:5274;top:1674;width:2700;height:1080">
              <v:textbox style="mso-next-textbox:#_x0000_s1029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Интеллектуально-творческий компонент</w:t>
                    </w:r>
                  </w:p>
                </w:txbxContent>
              </v:textbox>
            </v:rect>
            <v:rect id="_x0000_s1030" style="position:absolute;left:8874;top:1674;width:2700;height:1080">
              <v:textbox style="mso-next-textbox:#_x0000_s1030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Когнитивный компонент</w:t>
                    </w:r>
                  </w:p>
                </w:txbxContent>
              </v:textbox>
            </v:rect>
            <v:rect id="_x0000_s1031" style="position:absolute;left:12474;top:1674;width:2700;height:1080">
              <v:textbox style="mso-next-textbox:#_x0000_s1031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Действенно-операционный компонент</w:t>
                    </w:r>
                  </w:p>
                </w:txbxContent>
              </v:textbox>
            </v:rect>
            <v:rect id="_x0000_s1032" style="position:absolute;left:1674;top:2934;width:3060;height:4680">
              <v:textbox style="mso-next-textbox:#_x0000_s1032">
                <w:txbxContent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мотивация и познавательная активность;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способность к преодолению когнитивных трудностей;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самостоятель-ность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 xml:space="preserve"> в процессе познания, принятия решений и их оценки;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ценностные ориентации;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идентичность;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4"/>
                      </w:numPr>
                      <w:tabs>
                        <w:tab w:val="num" w:pos="180"/>
                      </w:tabs>
                      <w:ind w:left="180" w:hanging="180"/>
                    </w:pPr>
                    <w:r>
                      <w:rPr>
                        <w:sz w:val="20"/>
                        <w:szCs w:val="20"/>
                      </w:rPr>
                      <w:t xml:space="preserve">эмоциональное отношение к учебе,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исследовательс-кой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 xml:space="preserve"> деятельности</w:t>
                    </w:r>
                    <w:r>
                      <w:t>.</w:t>
                    </w:r>
                  </w:p>
                </w:txbxContent>
              </v:textbox>
            </v:rect>
            <v:rect id="_x0000_s1033" style="position:absolute;left:5274;top:2934;width:2700;height:4680">
              <v:textbox style="mso-next-textbox:#_x0000_s1033">
                <w:txbxContent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развитие познавательных процессов и учебных навыков (общий уровень и динамика развития)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уровень интеллекта;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эксперимента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льное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мышление;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рефлексивные способности;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общий уровень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креативности</w:t>
                    </w:r>
                    <w:proofErr w:type="spellEnd"/>
                  </w:p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проявление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креативности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в проблемной ситуации.</w:t>
                    </w:r>
                  </w:p>
                </w:txbxContent>
              </v:textbox>
            </v:rect>
            <v:rect id="_x0000_s1034" style="position:absolute;left:8874;top:2934;width:2700;height:4680">
              <v:textbox style="mso-next-textbox:#_x0000_s1034">
                <w:txbxContent>
                  <w:p w:rsidR="00BF1479" w:rsidRDefault="00BF1479" w:rsidP="00BF1479">
                    <w:pPr>
                      <w:numPr>
                        <w:ilvl w:val="0"/>
                        <w:numId w:val="5"/>
                      </w:numPr>
                      <w:tabs>
                        <w:tab w:val="num" w:pos="180"/>
                      </w:tabs>
                      <w:ind w:left="180" w:hanging="180"/>
                      <w:jc w:val="both"/>
                    </w:pPr>
                    <w:r>
                      <w:rPr>
                        <w:sz w:val="20"/>
                        <w:szCs w:val="20"/>
                      </w:rPr>
                      <w:t>знание сущности и технологии основных методов исследования</w:t>
                    </w:r>
                    <w:r>
                      <w:t>.</w:t>
                    </w:r>
                  </w:p>
                </w:txbxContent>
              </v:textbox>
            </v:rect>
            <v:rect id="_x0000_s1035" style="position:absolute;left:12114;top:2934;width:3060;height:4680">
              <v:textbox style="mso-next-textbox:#_x0000_s1035">
                <w:txbxContent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видение проблемы;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постановка вопросов;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выдвижение гипотезы;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способность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классифициро-вать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наблюдение;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овладение навыками проведения экспериментов;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умение структурировать материал;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формулирование выводов и умозаключений</w:t>
                    </w:r>
                  </w:p>
                  <w:p w:rsidR="00BF1479" w:rsidRDefault="00BF1479" w:rsidP="00BF1479">
                    <w:pPr>
                      <w:numPr>
                        <w:ilvl w:val="0"/>
                        <w:numId w:val="6"/>
                      </w:numPr>
                      <w:tabs>
                        <w:tab w:val="num" w:pos="180"/>
                      </w:tabs>
                      <w:ind w:left="180" w:hanging="1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объяснение, доказательство и защита собственны</w:t>
                    </w:r>
                    <w:r>
                      <w:t xml:space="preserve">х </w:t>
                    </w:r>
                    <w:r>
                      <w:rPr>
                        <w:sz w:val="20"/>
                        <w:szCs w:val="20"/>
                      </w:rPr>
                      <w:t>идей.</w:t>
                    </w:r>
                  </w:p>
                </w:txbxContent>
              </v:textbox>
            </v:rect>
            <v:line id="_x0000_s1036" style="position:absolute;flip:x" from="3114,1134" to="4734,1134">
              <v:stroke startarrow="block"/>
            </v:line>
            <v:line id="_x0000_s1037" style="position:absolute;flip:x" from="12294,1134" to="13914,1134">
              <v:stroke endarrow="block"/>
            </v:line>
            <v:line id="_x0000_s1038" style="position:absolute" from="3114,1134" to="3114,1674"/>
            <v:line id="_x0000_s1039" style="position:absolute" from="13914,1134" to="13914,1674"/>
            <v:line id="_x0000_s1040" style="position:absolute" from="3114,2754" to="3114,2934"/>
            <v:line id="_x0000_s1041" style="position:absolute" from="6714,2754" to="6714,2934"/>
            <v:line id="_x0000_s1042" style="position:absolute" from="10134,2754" to="10134,2934"/>
            <v:line id="_x0000_s1043" style="position:absolute" from="13914,2754" to="13914,2934"/>
            <v:rect id="_x0000_s1044" style="position:absolute;left:1494;top:7974;width:1800;height:1260">
              <v:textbox style="mso-next-textbox:#_x0000_s1044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ценностно-смысло</w:t>
                    </w:r>
                    <w:proofErr w:type="spellEnd"/>
                  </w:p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вые компетенции</w:t>
                    </w:r>
                  </w:p>
                </w:txbxContent>
              </v:textbox>
            </v:rect>
            <v:rect id="_x0000_s1045" style="position:absolute;left:3474;top:7974;width:1800;height:1260">
              <v:textbox style="mso-next-textbox:#_x0000_s1045">
                <w:txbxContent>
                  <w:p w:rsidR="00BF1479" w:rsidRDefault="00BF1479" w:rsidP="00BF14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компетен</w:t>
                    </w:r>
                    <w:proofErr w:type="spellEnd"/>
                  </w:p>
                  <w:p w:rsidR="00BF1479" w:rsidRDefault="00BF1479" w:rsidP="00BF14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цииличностно-го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самосовершенствования</w:t>
                    </w:r>
                  </w:p>
                </w:txbxContent>
              </v:textbox>
            </v:rect>
            <v:rect id="_x0000_s1046" style="position:absolute;left:5454;top:7974;width:1800;height:1260">
              <v:textbox style="mso-next-textbox:#_x0000_s1046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общекультурные компетенции</w:t>
                    </w:r>
                  </w:p>
                </w:txbxContent>
              </v:textbox>
            </v:rect>
            <v:rect id="_x0000_s1047" style="position:absolute;left:7434;top:7974;width:1980;height:1260">
              <v:textbox style="mso-next-textbox:#_x0000_s1047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социально-трудовые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компетен</w:t>
                    </w:r>
                    <w:proofErr w:type="spellEnd"/>
                  </w:p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ции</w:t>
                    </w:r>
                    <w:proofErr w:type="spellEnd"/>
                  </w:p>
                </w:txbxContent>
              </v:textbox>
            </v:rect>
            <v:rect id="_x0000_s1048" style="position:absolute;left:9594;top:7974;width:1800;height:1260">
              <v:textbox style="mso-next-textbox:#_x0000_s1048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учебно-познавательные компетенции</w:t>
                    </w:r>
                  </w:p>
                  <w:p w:rsidR="00BF1479" w:rsidRDefault="00BF1479" w:rsidP="00BF1479"/>
                </w:txbxContent>
              </v:textbox>
            </v:rect>
            <v:rect id="_x0000_s1049" style="position:absolute;left:11574;top:7974;width:1800;height:1260">
              <v:textbox style="mso-next-textbox:#_x0000_s1049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информационные компетенции</w:t>
                    </w:r>
                  </w:p>
                  <w:p w:rsidR="00BF1479" w:rsidRDefault="00BF1479" w:rsidP="00BF1479"/>
                </w:txbxContent>
              </v:textbox>
            </v:rect>
            <v:rect id="_x0000_s1050" style="position:absolute;left:13554;top:7974;width:1800;height:1260">
              <v:textbox style="mso-next-textbox:#_x0000_s1050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коммуникативные компетенции</w:t>
                    </w:r>
                  </w:p>
                  <w:p w:rsidR="00BF1479" w:rsidRDefault="00BF1479" w:rsidP="00BF1479"/>
                </w:txbxContent>
              </v:textbox>
            </v:rect>
            <v:rect id="_x0000_s1051" style="position:absolute;left:4554;top:9594;width:7560;height:540">
              <v:textbox style="mso-next-textbox:#_x0000_s1051">
                <w:txbxContent>
                  <w:p w:rsidR="00BF1479" w:rsidRDefault="00BF1479" w:rsidP="00BF14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ИССЛЕДОВАТЕЛЬСКАЯ КОМПЕТЕНЦИЯ</w:t>
                    </w:r>
                  </w:p>
                </w:txbxContent>
              </v:textbox>
            </v:rect>
            <v:line id="_x0000_s1052" style="position:absolute;flip:x y" from="6354,7614" to="6354,7974">
              <v:stroke endarrow="block"/>
            </v:line>
            <v:line id="_x0000_s1053" style="position:absolute" from="6714,7614" to="8154,7974">
              <v:stroke startarrow="block"/>
            </v:line>
            <v:line id="_x0000_s1054" style="position:absolute" from="7974,7614" to="10314,7974">
              <v:stroke startarrow="block"/>
            </v:line>
            <v:line id="_x0000_s1055" style="position:absolute" from="10314,7614" to="10314,7974">
              <v:stroke startarrow="block"/>
            </v:line>
            <v:line id="_x0000_s1056" style="position:absolute" from="11214,7614" to="12474,7974">
              <v:stroke startarrow="block"/>
            </v:line>
            <v:line id="_x0000_s1057" style="position:absolute" from="14454,7614" to="14454,7974">
              <v:stroke startarrow="block"/>
            </v:line>
            <v:line id="_x0000_s1058" style="position:absolute;flip:x" from="10494,7614" to="13554,7974">
              <v:stroke startarrow="block"/>
            </v:line>
            <v:line id="_x0000_s1059" style="position:absolute;flip:y" from="2394,9234" to="2394,9774">
              <v:stroke endarrow="block"/>
            </v:line>
            <v:line id="_x0000_s1060" style="position:absolute" from="4194,9234" to="4194,9774">
              <v:stroke startarrow="block"/>
            </v:line>
            <v:line id="_x0000_s1061" style="position:absolute;flip:y" from="6354,9234" to="6354,9594">
              <v:stroke endarrow="block"/>
            </v:line>
            <v:line id="_x0000_s1062" style="position:absolute;flip:y" from="10494,9234" to="10494,9594">
              <v:stroke endarrow="block"/>
            </v:line>
            <v:line id="_x0000_s1063" style="position:absolute" from="12474,9234" to="12474,9774">
              <v:stroke startarrow="block"/>
            </v:line>
            <v:line id="_x0000_s1064" style="position:absolute" from="14454,9234" to="14454,9774">
              <v:stroke startarrow="block"/>
            </v:line>
            <v:line id="_x0000_s1065" style="position:absolute;flip:y" from="8334,9234" to="8334,9594">
              <v:stroke endarrow="block"/>
            </v:line>
            <v:line id="_x0000_s1066" style="position:absolute" from="2394,9774" to="4554,9774"/>
            <v:line id="_x0000_s1067" style="position:absolute;flip:x" from="12114,9774" to="14454,9774"/>
            <v:line id="_x0000_s1068" style="position:absolute;flip:y" from="2394,7614" to="2394,7974">
              <v:stroke endarrow="block"/>
            </v:line>
            <v:line id="_x0000_s1069" style="position:absolute;flip:y" from="4194,7614" to="4194,7974">
              <v:stroke endarrow="block"/>
            </v:line>
            <w10:wrap type="none"/>
            <w10:anchorlock/>
          </v:group>
        </w:pic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F1479" w:rsidRDefault="00BF1479" w:rsidP="00BF147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26950" w:rsidRDefault="00426950"/>
    <w:sectPr w:rsidR="00426950" w:rsidSect="0042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01D"/>
    <w:multiLevelType w:val="hybridMultilevel"/>
    <w:tmpl w:val="0260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2B2A"/>
    <w:multiLevelType w:val="hybridMultilevel"/>
    <w:tmpl w:val="53F8A3F4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07E4"/>
    <w:multiLevelType w:val="hybridMultilevel"/>
    <w:tmpl w:val="CBFC1404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2623C"/>
    <w:multiLevelType w:val="hybridMultilevel"/>
    <w:tmpl w:val="C8AC2C2C"/>
    <w:lvl w:ilvl="0" w:tplc="966A05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4022E"/>
    <w:multiLevelType w:val="hybridMultilevel"/>
    <w:tmpl w:val="4B3C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74F7A"/>
    <w:multiLevelType w:val="hybridMultilevel"/>
    <w:tmpl w:val="8F20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79"/>
    <w:rsid w:val="00426950"/>
    <w:rsid w:val="00BF1479"/>
    <w:rsid w:val="00D3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7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BF1479"/>
  </w:style>
  <w:style w:type="paragraph" w:styleId="a5">
    <w:name w:val="No Spacing"/>
    <w:link w:val="a4"/>
    <w:uiPriority w:val="1"/>
    <w:qFormat/>
    <w:rsid w:val="00BF1479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BF1479"/>
    <w:pPr>
      <w:ind w:left="720"/>
      <w:contextualSpacing/>
    </w:pPr>
  </w:style>
  <w:style w:type="paragraph" w:customStyle="1" w:styleId="Default">
    <w:name w:val="Default"/>
    <w:uiPriority w:val="99"/>
    <w:semiHidden/>
    <w:rsid w:val="00BF1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F147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BF1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0.38000000000000012</c:v>
                </c:pt>
                <c:pt idx="1">
                  <c:v>0.34</c:v>
                </c:pt>
                <c:pt idx="2">
                  <c:v>0.28000000000000008</c:v>
                </c:pt>
              </c:numCache>
            </c:numRef>
          </c:val>
        </c:ser>
        <c:dLbls>
          <c:showVal val="1"/>
        </c:dLbls>
        <c:gapWidth val="75"/>
        <c:axId val="82912768"/>
        <c:axId val="82914304"/>
      </c:barChart>
      <c:catAx>
        <c:axId val="82912768"/>
        <c:scaling>
          <c:orientation val="minMax"/>
        </c:scaling>
        <c:axPos val="b"/>
        <c:numFmt formatCode="General" sourceLinked="1"/>
        <c:majorTickMark val="none"/>
        <c:tickLblPos val="nextTo"/>
        <c:crossAx val="82914304"/>
        <c:crosses val="autoZero"/>
        <c:auto val="1"/>
        <c:lblAlgn val="ctr"/>
        <c:lblOffset val="100"/>
      </c:catAx>
      <c:valAx>
        <c:axId val="82914304"/>
        <c:scaling>
          <c:orientation val="minMax"/>
        </c:scaling>
        <c:axPos val="l"/>
        <c:numFmt formatCode="0%" sourceLinked="1"/>
        <c:majorTickMark val="none"/>
        <c:tickLblPos val="nextTo"/>
        <c:crossAx val="8291276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406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0.35000000000000009</c:v>
                </c:pt>
                <c:pt idx="1">
                  <c:v>0.56999999999999995</c:v>
                </c:pt>
                <c:pt idx="2">
                  <c:v>0.12000000000000002</c:v>
                </c:pt>
              </c:numCache>
            </c:numRef>
          </c:val>
        </c:ser>
        <c:dLbls>
          <c:showVal val="1"/>
        </c:dLbls>
        <c:gapWidth val="75"/>
        <c:axId val="47463808"/>
        <c:axId val="47481984"/>
      </c:barChart>
      <c:catAx>
        <c:axId val="47463808"/>
        <c:scaling>
          <c:orientation val="minMax"/>
        </c:scaling>
        <c:axPos val="b"/>
        <c:numFmt formatCode="General" sourceLinked="1"/>
        <c:majorTickMark val="none"/>
        <c:tickLblPos val="nextTo"/>
        <c:crossAx val="47481984"/>
        <c:crosses val="autoZero"/>
        <c:auto val="1"/>
        <c:lblAlgn val="ctr"/>
        <c:lblOffset val="100"/>
      </c:catAx>
      <c:valAx>
        <c:axId val="47481984"/>
        <c:scaling>
          <c:orientation val="minMax"/>
        </c:scaling>
        <c:axPos val="l"/>
        <c:numFmt formatCode="0%" sourceLinked="1"/>
        <c:majorTickMark val="none"/>
        <c:tickLblPos val="nextTo"/>
        <c:crossAx val="47463808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5542</Characters>
  <Application>Microsoft Office Word</Application>
  <DocSecurity>0</DocSecurity>
  <Lines>46</Lines>
  <Paragraphs>13</Paragraphs>
  <ScaleCrop>false</ScaleCrop>
  <Company>Grizli777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2013-06-14T14:57:00Z</dcterms:created>
  <dcterms:modified xsi:type="dcterms:W3CDTF">2013-06-14T14:58:00Z</dcterms:modified>
</cp:coreProperties>
</file>