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A8" w:rsidRDefault="00EA11F5" w:rsidP="00EA1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1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15514A" w:rsidRDefault="00E57359" w:rsidP="0015514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1F5">
        <w:rPr>
          <w:rFonts w:ascii="Times New Roman" w:hAnsi="Times New Roman" w:cs="Times New Roman"/>
          <w:sz w:val="28"/>
          <w:szCs w:val="28"/>
        </w:rPr>
        <w:t>Предлагаемый курс своим содер</w:t>
      </w:r>
      <w:r w:rsidR="00FE2D2E">
        <w:rPr>
          <w:rFonts w:ascii="Times New Roman" w:hAnsi="Times New Roman" w:cs="Times New Roman"/>
          <w:sz w:val="28"/>
          <w:szCs w:val="28"/>
        </w:rPr>
        <w:t>жанием предназначен учащимся</w:t>
      </w:r>
      <w:r w:rsidR="00EA11F5">
        <w:rPr>
          <w:rFonts w:ascii="Times New Roman" w:hAnsi="Times New Roman" w:cs="Times New Roman"/>
          <w:sz w:val="28"/>
          <w:szCs w:val="28"/>
        </w:rPr>
        <w:t xml:space="preserve">, которым интересна математика. Данный курс направлен на расширение знаний учащихся, повышение уровня математической подготовки через решение большого класса задач. </w:t>
      </w:r>
      <w:r w:rsidR="0015514A">
        <w:rPr>
          <w:rFonts w:ascii="Times New Roman" w:hAnsi="Times New Roman" w:cs="Times New Roman"/>
          <w:sz w:val="28"/>
          <w:szCs w:val="28"/>
        </w:rPr>
        <w:t>Разработка  данного курса обусловлена непродолжительным изучением тем «Проценты», «Модуль» на первом этапе основной школы. На последующих этапах обучения повторного обращения к этим темам не предусматривается. Текстовые задачи на проценты и задания с модулем включены в материалы ГИА и ЕГЭ. Понимание процентов и умение производить процентные расчеты,  в настоящее время необходимы каждому человеку: прикладное значение этой темы очень велико  и затрагивает финансовую, демографическую, экологическую, социологическую и другие стороны  нашей жизни.</w:t>
      </w:r>
    </w:p>
    <w:p w:rsidR="00EA11F5" w:rsidRDefault="0015514A" w:rsidP="00EA11F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1F5">
        <w:rPr>
          <w:rFonts w:ascii="Times New Roman" w:hAnsi="Times New Roman" w:cs="Times New Roman"/>
          <w:sz w:val="28"/>
          <w:szCs w:val="28"/>
        </w:rPr>
        <w:t>Стоит отметить, что навыки в решении уравнений, неравенств, содержащих параметр, модуль, и построени</w:t>
      </w:r>
      <w:r w:rsidR="00E57359">
        <w:rPr>
          <w:rFonts w:ascii="Times New Roman" w:hAnsi="Times New Roman" w:cs="Times New Roman"/>
          <w:sz w:val="28"/>
          <w:szCs w:val="28"/>
        </w:rPr>
        <w:t>е графиков элементарных функций, содержащих параметр и модуль</w:t>
      </w:r>
      <w:r w:rsidR="00EA11F5">
        <w:rPr>
          <w:rFonts w:ascii="Times New Roman" w:hAnsi="Times New Roman" w:cs="Times New Roman"/>
          <w:sz w:val="28"/>
          <w:szCs w:val="28"/>
        </w:rPr>
        <w:t>, совершенно необходимы любому ученику, желающему не только успешно выступать на математических олимпиадах, но и начать подготовку к поступлению в высшие учебные заведения. Наряду с основной    задачей обучения математике – обеспечение прочного и осознанного овладения учащимися системой математических  знаний и умений, данный курс предусматривает формирование устойчивого интереса к предмету, выявление и развитие математических способ</w:t>
      </w:r>
      <w:r w:rsidR="00E57359">
        <w:rPr>
          <w:rFonts w:ascii="Times New Roman" w:hAnsi="Times New Roman" w:cs="Times New Roman"/>
          <w:sz w:val="28"/>
          <w:szCs w:val="28"/>
        </w:rPr>
        <w:t>ностей, ориентацию на профессию</w:t>
      </w:r>
      <w:r w:rsidR="00EA11F5">
        <w:rPr>
          <w:rFonts w:ascii="Times New Roman" w:hAnsi="Times New Roman" w:cs="Times New Roman"/>
          <w:sz w:val="28"/>
          <w:szCs w:val="28"/>
        </w:rPr>
        <w:t>, с</w:t>
      </w:r>
      <w:r w:rsidR="00214388">
        <w:rPr>
          <w:rFonts w:ascii="Times New Roman" w:hAnsi="Times New Roman" w:cs="Times New Roman"/>
          <w:sz w:val="28"/>
          <w:szCs w:val="28"/>
        </w:rPr>
        <w:t>ущественным образом связанных с математикой, выбору профиля дальнейшего обучения.</w:t>
      </w:r>
    </w:p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курса:</w:t>
      </w:r>
    </w:p>
    <w:p w:rsidR="0015514A" w:rsidRPr="000943BD" w:rsidRDefault="0015514A" w:rsidP="0015514A">
      <w:pPr>
        <w:rPr>
          <w:rFonts w:ascii="Times New Roman" w:hAnsi="Times New Roman" w:cs="Times New Roman"/>
          <w:sz w:val="28"/>
          <w:szCs w:val="28"/>
        </w:rPr>
      </w:pPr>
      <w:r w:rsidRPr="000943BD">
        <w:rPr>
          <w:rFonts w:ascii="Times New Roman" w:hAnsi="Times New Roman" w:cs="Times New Roman"/>
          <w:sz w:val="28"/>
          <w:szCs w:val="28"/>
        </w:rPr>
        <w:t>- Сформировать понимание необходимости  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15514A" w:rsidRDefault="0015514A" w:rsidP="0015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некот</w:t>
      </w:r>
      <w:r w:rsidRPr="000943BD">
        <w:rPr>
          <w:rFonts w:ascii="Times New Roman" w:hAnsi="Times New Roman" w:cs="Times New Roman"/>
          <w:sz w:val="28"/>
          <w:szCs w:val="28"/>
        </w:rPr>
        <w:t>орые</w:t>
      </w:r>
      <w:r>
        <w:rPr>
          <w:rFonts w:ascii="Times New Roman" w:hAnsi="Times New Roman" w:cs="Times New Roman"/>
          <w:sz w:val="28"/>
          <w:szCs w:val="28"/>
        </w:rPr>
        <w:t xml:space="preserve"> нестандартные приемы решения задач на основе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адратного трехчлена и графических соображений;</w:t>
      </w:r>
    </w:p>
    <w:p w:rsidR="0015514A" w:rsidRDefault="0015514A" w:rsidP="00EA11F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повысить уровень понимания и практической подготовки в таких вопросах, как: изучение избранных классов уравнений и неравенств с параметрами и модулем; построение графиков элементарных функций, содержащих параметр и модуль;</w:t>
      </w:r>
    </w:p>
    <w:p w:rsidR="0015514A" w:rsidRDefault="00214388" w:rsidP="0015514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4A">
        <w:rPr>
          <w:rFonts w:ascii="Times New Roman" w:hAnsi="Times New Roman" w:cs="Times New Roman"/>
          <w:sz w:val="28"/>
          <w:szCs w:val="28"/>
        </w:rPr>
        <w:t>-Создать в совокупности с основными разделами курса базу для развития способностей учащихся;</w:t>
      </w:r>
    </w:p>
    <w:p w:rsidR="0015514A" w:rsidRDefault="0015514A" w:rsidP="0015514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15514A" w:rsidRDefault="0015514A" w:rsidP="0015514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15514A" w:rsidRDefault="0015514A" w:rsidP="0015514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 - помочь овладеть рядом технических и интеллектуальных умений на уровне их свободного пользования</w:t>
      </w:r>
    </w:p>
    <w:p w:rsidR="0015514A" w:rsidRDefault="0015514A" w:rsidP="0015514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ученику оценить свой потенциал с точки зрения образовательной перспективы</w:t>
      </w:r>
    </w:p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14388" w:rsidRPr="006F501E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96431" w:rsidRPr="006F501E" w:rsidRDefault="00996431" w:rsidP="0099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1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Ind w:w="-459" w:type="dxa"/>
        <w:tblLook w:val="04A0"/>
      </w:tblPr>
      <w:tblGrid>
        <w:gridCol w:w="954"/>
        <w:gridCol w:w="3969"/>
        <w:gridCol w:w="4395"/>
        <w:gridCol w:w="1842"/>
        <w:gridCol w:w="1786"/>
      </w:tblGrid>
      <w:tr w:rsidR="00FE2D2E" w:rsidRPr="006F501E" w:rsidTr="00FE2D2E">
        <w:trPr>
          <w:trHeight w:val="270"/>
        </w:trPr>
        <w:tc>
          <w:tcPr>
            <w:tcW w:w="954" w:type="dxa"/>
            <w:vMerge w:val="restart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E2D2E" w:rsidRPr="006F501E" w:rsidTr="00FE2D2E">
        <w:trPr>
          <w:trHeight w:val="270"/>
        </w:trPr>
        <w:tc>
          <w:tcPr>
            <w:tcW w:w="954" w:type="dxa"/>
            <w:vMerge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Нахождение процента от числа, числа по его проценту,</w:t>
            </w: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сложные проценты.</w:t>
            </w: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E57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E57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Понятия «скидка», «распродажа», «бюджет», «тарифы»,</w:t>
            </w: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«пеня», «сложный процентный </w:t>
            </w: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рост»</w:t>
            </w: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массы, концентрация вещества, процентного раствора.</w:t>
            </w: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массы, концентрация вещества,</w:t>
            </w: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процентного раствора.</w:t>
            </w: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Нахождение корней квадратного трехчлена, применение</w:t>
            </w: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теоремы Виета при исследовании знаков корней</w:t>
            </w:r>
          </w:p>
        </w:tc>
        <w:tc>
          <w:tcPr>
            <w:tcW w:w="1842" w:type="dxa"/>
            <w:vAlign w:val="center"/>
          </w:tcPr>
          <w:p w:rsidR="00FE2D2E" w:rsidRPr="006F501E" w:rsidRDefault="00FE2D2E" w:rsidP="008A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Особенности расположения корней квадратного трехчлена с заданными свойствами на координатной плоскости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с применением утверждений о расположении корней трехчлена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с применением утверждений о расположении корней трехчлена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разнообразных задач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Модуль. Общие сведения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Определение модуля; упрощение выражений</w:t>
            </w:r>
            <w:proofErr w:type="gramStart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модуль.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Модуль. Общие сведения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Модуль. Общие сведения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Уравнения,  содержащие модуль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уравнений с модулями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Уравнения, 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Уравнения, 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Уравнения, 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Уравнения,  содержащие </w:t>
            </w: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Уравнения, 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неравенств с модулями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 w:val="restart"/>
            <w:vAlign w:val="center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Приемы построения графиков функций, содержащих модуль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4395" w:type="dxa"/>
            <w:vMerge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6F501E" w:rsidTr="00FE2D2E">
        <w:tc>
          <w:tcPr>
            <w:tcW w:w="954" w:type="dxa"/>
          </w:tcPr>
          <w:p w:rsidR="00FE2D2E" w:rsidRPr="006F501E" w:rsidRDefault="00FE2D2E" w:rsidP="00AA5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969" w:type="dxa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 w:val="restart"/>
          </w:tcPr>
          <w:p w:rsidR="00FE2D2E" w:rsidRPr="006F501E" w:rsidRDefault="00FE2D2E" w:rsidP="0099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1E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с модулями и построение графиков функций.</w:t>
            </w:r>
          </w:p>
        </w:tc>
        <w:tc>
          <w:tcPr>
            <w:tcW w:w="1842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2D2E" w:rsidRPr="006F501E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2E" w:rsidRPr="00996431" w:rsidTr="00FE2D2E">
        <w:tc>
          <w:tcPr>
            <w:tcW w:w="954" w:type="dxa"/>
          </w:tcPr>
          <w:p w:rsidR="00FE2D2E" w:rsidRPr="00996431" w:rsidRDefault="00FE2D2E" w:rsidP="00AA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FE2D2E" w:rsidRPr="00A4733B" w:rsidRDefault="00FE2D2E" w:rsidP="00AA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3B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395" w:type="dxa"/>
            <w:vMerge/>
          </w:tcPr>
          <w:p w:rsidR="00FE2D2E" w:rsidRPr="00996431" w:rsidRDefault="00FE2D2E" w:rsidP="00AA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D2E" w:rsidRPr="00996431" w:rsidRDefault="00FE2D2E" w:rsidP="00AA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E2D2E" w:rsidRPr="00996431" w:rsidRDefault="00FE2D2E" w:rsidP="00AA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14388" w:rsidRPr="00996431" w:rsidRDefault="00996431" w:rsidP="0021438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70 часов</w:t>
      </w:r>
    </w:p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40A64" w:rsidRDefault="00940A64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F501E" w:rsidRDefault="006F501E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F501E" w:rsidRDefault="006F501E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40A64" w:rsidRDefault="00940A64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07E32" w:rsidRDefault="00E628F3" w:rsidP="00707E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628F3" w:rsidRPr="00996431" w:rsidRDefault="00E628F3" w:rsidP="00707E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proofErr w:type="gramStart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в школе.</w:t>
      </w:r>
    </w:p>
    <w:p w:rsidR="00707E32" w:rsidRPr="00996431" w:rsidRDefault="00707E32" w:rsidP="009F2A8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Ф.Ф., </w:t>
      </w:r>
      <w:proofErr w:type="spellStart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Кулабухова</w:t>
      </w:r>
      <w:proofErr w:type="spellEnd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Математика. Подготовка к ЕГЭ-2012: учебно-методическое пособие. – Ростов-на-Дону: Легион-М, 2011</w:t>
      </w: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государственного стандарта среднего (полного) общего образования по математике, Вестник образования -2004 - № 14 </w:t>
      </w: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А.Л.Семенов, И. В. Ященко. 3000 задач с ответами по математике. – М.: Издательство «Экзамен», 2011.</w:t>
      </w: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 Лаппо. Сборник заданий. - Издательство «Экзамен», 2011.</w:t>
      </w: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 Ф.К. Способы решения задач ЕГЭ на смеси</w:t>
      </w:r>
      <w:proofErr w:type="gramStart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сплавы, на проценты.</w:t>
      </w:r>
    </w:p>
    <w:p w:rsidR="00707E32" w:rsidRPr="00996431" w:rsidRDefault="00707E32" w:rsidP="009F2A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В.Н.Студенецкая</w:t>
      </w:r>
      <w:proofErr w:type="spellEnd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Сагателова</w:t>
      </w:r>
      <w:proofErr w:type="spellEnd"/>
      <w:r w:rsidRPr="00996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Математика. Сборник элективных курсов. – Волгоград: Учитель, 2007.</w:t>
      </w:r>
    </w:p>
    <w:p w:rsidR="00707E32" w:rsidRDefault="00707E32" w:rsidP="00707E32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14388" w:rsidRDefault="00214388" w:rsidP="00EA11F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943BD" w:rsidRDefault="000943BD" w:rsidP="000943BD">
      <w:pPr>
        <w:rPr>
          <w:rFonts w:ascii="Times New Roman" w:hAnsi="Times New Roman" w:cs="Times New Roman"/>
          <w:sz w:val="28"/>
          <w:szCs w:val="28"/>
        </w:rPr>
      </w:pPr>
    </w:p>
    <w:p w:rsidR="000943BD" w:rsidRDefault="000943BD" w:rsidP="000943BD">
      <w:pPr>
        <w:rPr>
          <w:rFonts w:ascii="Times New Roman" w:hAnsi="Times New Roman" w:cs="Times New Roman"/>
          <w:sz w:val="28"/>
          <w:szCs w:val="28"/>
        </w:rPr>
      </w:pPr>
    </w:p>
    <w:p w:rsidR="000943BD" w:rsidRDefault="000943BD" w:rsidP="000943BD">
      <w:pPr>
        <w:rPr>
          <w:rFonts w:ascii="Times New Roman" w:hAnsi="Times New Roman" w:cs="Times New Roman"/>
          <w:sz w:val="28"/>
          <w:szCs w:val="28"/>
        </w:rPr>
      </w:pPr>
    </w:p>
    <w:sectPr w:rsidR="000943BD" w:rsidSect="0015514A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495"/>
    <w:multiLevelType w:val="hybridMultilevel"/>
    <w:tmpl w:val="6AA6F968"/>
    <w:lvl w:ilvl="0" w:tplc="88800C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1F5"/>
    <w:rsid w:val="0005089E"/>
    <w:rsid w:val="00084B98"/>
    <w:rsid w:val="000943BD"/>
    <w:rsid w:val="0015514A"/>
    <w:rsid w:val="001909E8"/>
    <w:rsid w:val="00214388"/>
    <w:rsid w:val="0023170A"/>
    <w:rsid w:val="003738FC"/>
    <w:rsid w:val="003A7688"/>
    <w:rsid w:val="004A67A8"/>
    <w:rsid w:val="005B46B5"/>
    <w:rsid w:val="006F501E"/>
    <w:rsid w:val="007009BD"/>
    <w:rsid w:val="00707E32"/>
    <w:rsid w:val="00776B00"/>
    <w:rsid w:val="007B7307"/>
    <w:rsid w:val="007D7281"/>
    <w:rsid w:val="007E670C"/>
    <w:rsid w:val="007F0975"/>
    <w:rsid w:val="00873893"/>
    <w:rsid w:val="008A7A77"/>
    <w:rsid w:val="008E71C4"/>
    <w:rsid w:val="00940A64"/>
    <w:rsid w:val="00974034"/>
    <w:rsid w:val="00996431"/>
    <w:rsid w:val="009B51B8"/>
    <w:rsid w:val="009F2A86"/>
    <w:rsid w:val="00A4733B"/>
    <w:rsid w:val="00AB73CF"/>
    <w:rsid w:val="00BA313C"/>
    <w:rsid w:val="00C90768"/>
    <w:rsid w:val="00D05221"/>
    <w:rsid w:val="00D17B9A"/>
    <w:rsid w:val="00D3149D"/>
    <w:rsid w:val="00E22E8F"/>
    <w:rsid w:val="00E557AF"/>
    <w:rsid w:val="00E57359"/>
    <w:rsid w:val="00E628F3"/>
    <w:rsid w:val="00EA11F5"/>
    <w:rsid w:val="00F242B9"/>
    <w:rsid w:val="00F72A68"/>
    <w:rsid w:val="00FA362B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7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07E3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1E12-7076-4E45-91C4-23CF610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15</cp:revision>
  <cp:lastPrinted>2012-09-30T10:43:00Z</cp:lastPrinted>
  <dcterms:created xsi:type="dcterms:W3CDTF">2012-09-19T10:07:00Z</dcterms:created>
  <dcterms:modified xsi:type="dcterms:W3CDTF">2013-11-04T15:30:00Z</dcterms:modified>
</cp:coreProperties>
</file>