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5" w:rsidRDefault="00F34CC5" w:rsidP="005937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мониторинг как способ повышения успеваемости и качества обучения учащихся.</w:t>
      </w:r>
    </w:p>
    <w:p w:rsidR="00762377" w:rsidRPr="00762377" w:rsidRDefault="00D44C21" w:rsidP="005937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5937A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Модель мониторинга МКОУ СОШ № 14</w:t>
      </w:r>
      <w:r w:rsidR="00F34C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</w:t>
      </w:r>
    </w:p>
    <w:p w:rsidR="00D44C21" w:rsidRPr="004D46E5" w:rsidRDefault="00762377" w:rsidP="00D44C21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4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4C21" w:rsidRPr="004D46E5">
        <w:rPr>
          <w:rFonts w:ascii="Times New Roman" w:hAnsi="Times New Roman" w:cs="Times New Roman"/>
          <w:sz w:val="24"/>
          <w:szCs w:val="24"/>
          <w:lang w:eastAsia="ru-RU"/>
        </w:rPr>
        <w:t>«Н</w:t>
      </w:r>
      <w:r w:rsidRPr="004D46E5">
        <w:rPr>
          <w:rFonts w:ascii="Times New Roman" w:hAnsi="Times New Roman" w:cs="Times New Roman"/>
          <w:sz w:val="24"/>
          <w:szCs w:val="24"/>
          <w:lang w:eastAsia="ru-RU"/>
        </w:rPr>
        <w:t>овые условия требуют новых путей решения</w:t>
      </w:r>
      <w:r w:rsidRPr="004D4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62377" w:rsidRPr="004D46E5" w:rsidRDefault="00762377" w:rsidP="00D44C21">
      <w:pPr>
        <w:pStyle w:val="a9"/>
        <w:jc w:val="right"/>
        <w:rPr>
          <w:sz w:val="24"/>
          <w:szCs w:val="24"/>
          <w:lang w:eastAsia="ru-RU"/>
        </w:rPr>
      </w:pPr>
      <w:r w:rsidRPr="004D46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C21" w:rsidRPr="004D46E5">
        <w:rPr>
          <w:rFonts w:ascii="Times New Roman" w:hAnsi="Times New Roman" w:cs="Times New Roman"/>
          <w:sz w:val="24"/>
          <w:szCs w:val="24"/>
          <w:lang w:eastAsia="ru-RU"/>
        </w:rPr>
        <w:t>Н.Рерих</w:t>
      </w:r>
    </w:p>
    <w:p w:rsidR="00A11E52" w:rsidRPr="003A7AAC" w:rsidRDefault="005937A2" w:rsidP="0059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Закону РФ «Об образовании» образовательные учреждения обязаны обеспечить оптимальное функционирование образовательного процесса и качественное достижение результатов образования, соответствующих образовательному стандарту. </w:t>
      </w:r>
      <w:r w:rsidR="00D44C21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специального отслеживания учебно-воспитательного процесса трудно представить корректность действий учителя и успешность усвоения предмета учащимися. Необходимы единые формы </w:t>
      </w:r>
      <w:proofErr w:type="gramStart"/>
      <w:r w:rsidR="00D44C21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D44C21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учебного процесса и усвоением учащимися учебного материала.</w:t>
      </w:r>
    </w:p>
    <w:p w:rsidR="00A11E52" w:rsidRPr="00C7226C" w:rsidRDefault="00A11E52" w:rsidP="003A7AAC">
      <w:pPr>
        <w:pStyle w:val="a9"/>
        <w:rPr>
          <w:rFonts w:ascii="Times New Roman" w:hAnsi="Times New Roman" w:cs="Times New Roman"/>
          <w:b/>
          <w:lang w:eastAsia="ru-RU"/>
        </w:rPr>
      </w:pPr>
      <w:r w:rsidRPr="00C7226C">
        <w:rPr>
          <w:rFonts w:ascii="Times New Roman" w:hAnsi="Times New Roman" w:cs="Times New Roman"/>
          <w:b/>
          <w:lang w:eastAsia="ru-RU"/>
        </w:rPr>
        <w:t>Цель мониторинга:</w:t>
      </w:r>
    </w:p>
    <w:p w:rsidR="00A11E52" w:rsidRPr="003A7AAC" w:rsidRDefault="00A11E52" w:rsidP="003A7AA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A7AAC">
        <w:rPr>
          <w:rFonts w:ascii="Times New Roman" w:hAnsi="Times New Roman" w:cs="Times New Roman"/>
          <w:sz w:val="24"/>
          <w:szCs w:val="24"/>
          <w:lang w:eastAsia="ru-RU"/>
        </w:rPr>
        <w:t>проанализировать и оценить результативность обучения;</w:t>
      </w:r>
    </w:p>
    <w:p w:rsidR="00A11E52" w:rsidRPr="003A7AAC" w:rsidRDefault="00A11E52" w:rsidP="003A7AA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A7AAC">
        <w:rPr>
          <w:rFonts w:ascii="Times New Roman" w:hAnsi="Times New Roman" w:cs="Times New Roman"/>
          <w:sz w:val="24"/>
          <w:szCs w:val="24"/>
          <w:lang w:eastAsia="ru-RU"/>
        </w:rPr>
        <w:t>оценить эффективность учебного процесса с точки зрения ФГОС;</w:t>
      </w:r>
    </w:p>
    <w:p w:rsidR="00762377" w:rsidRPr="003A7AAC" w:rsidRDefault="00A11E52" w:rsidP="003A7AA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A7AAC">
        <w:rPr>
          <w:rFonts w:ascii="Times New Roman" w:hAnsi="Times New Roman" w:cs="Times New Roman"/>
          <w:sz w:val="24"/>
          <w:szCs w:val="24"/>
          <w:lang w:eastAsia="ru-RU"/>
        </w:rPr>
        <w:t>проанализировать успешность обучения с учетом особенностей детей;</w:t>
      </w:r>
      <w:r w:rsidR="00D44C21" w:rsidRPr="003A7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E52" w:rsidRPr="003A7AAC" w:rsidRDefault="00A11E52" w:rsidP="003A7AA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A7AAC">
        <w:rPr>
          <w:rFonts w:ascii="Times New Roman" w:hAnsi="Times New Roman" w:cs="Times New Roman"/>
          <w:sz w:val="24"/>
          <w:szCs w:val="24"/>
          <w:lang w:eastAsia="ru-RU"/>
        </w:rPr>
        <w:t>обобщить опыт учителей.</w:t>
      </w:r>
    </w:p>
    <w:p w:rsidR="00A11E52" w:rsidRPr="003A7AAC" w:rsidRDefault="000F113C" w:rsidP="00D366A3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A7AAC">
        <w:rPr>
          <w:i/>
          <w:iCs/>
          <w:lang w:eastAsia="ru-RU"/>
        </w:rPr>
        <w:t xml:space="preserve">        </w:t>
      </w:r>
      <w:r w:rsidR="005937A2" w:rsidRPr="003A7AAC">
        <w:rPr>
          <w:i/>
          <w:iCs/>
          <w:lang w:eastAsia="ru-RU"/>
        </w:rPr>
        <w:t xml:space="preserve"> </w:t>
      </w:r>
      <w:r w:rsidR="00762377" w:rsidRPr="003A7AAC">
        <w:rPr>
          <w:rFonts w:ascii="Times New Roman" w:hAnsi="Times New Roman" w:cs="Times New Roman"/>
          <w:iCs/>
          <w:lang w:eastAsia="ru-RU"/>
        </w:rPr>
        <w:t>Мониторинг</w:t>
      </w:r>
      <w:r w:rsidR="00762377" w:rsidRPr="003A7AAC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A11E52" w:rsidRPr="003A7AAC">
        <w:rPr>
          <w:rFonts w:ascii="Times New Roman" w:hAnsi="Times New Roman" w:cs="Times New Roman"/>
          <w:lang w:eastAsia="ru-RU"/>
        </w:rPr>
        <w:t>- это регуляр</w:t>
      </w:r>
      <w:r w:rsidR="00762377" w:rsidRPr="003A7AAC">
        <w:rPr>
          <w:rFonts w:ascii="Times New Roman" w:hAnsi="Times New Roman" w:cs="Times New Roman"/>
          <w:lang w:eastAsia="ru-RU"/>
        </w:rPr>
        <w:t xml:space="preserve">ное организованное наблюдение за каким-либо процессом с целью сопоставления наличного состояния (точнее, постоянно сменяющих друг друга состояний) с ожидаемыми результатами, постоянное отслеживание хода каких-либо процессов по четко определенным показателям. </w:t>
      </w:r>
    </w:p>
    <w:p w:rsidR="00A11E52" w:rsidRPr="003A7AAC" w:rsidRDefault="005937A2" w:rsidP="00D366A3">
      <w:pPr>
        <w:pStyle w:val="a9"/>
        <w:jc w:val="both"/>
        <w:rPr>
          <w:rFonts w:ascii="Times New Roman" w:eastAsia="Calibri" w:hAnsi="Times New Roman" w:cs="Times New Roman"/>
        </w:rPr>
      </w:pPr>
      <w:r w:rsidRPr="003A7AAC">
        <w:rPr>
          <w:rFonts w:ascii="Times New Roman" w:eastAsia="Calibri" w:hAnsi="Times New Roman" w:cs="Times New Roman"/>
        </w:rPr>
        <w:t xml:space="preserve">           </w:t>
      </w:r>
      <w:r w:rsidR="00A11E52" w:rsidRPr="003A7AAC">
        <w:rPr>
          <w:rFonts w:ascii="Times New Roman" w:eastAsia="Calibri" w:hAnsi="Times New Roman" w:cs="Times New Roman"/>
        </w:rPr>
        <w:t xml:space="preserve">Важнейшим </w:t>
      </w:r>
      <w:r w:rsidR="00A11E52" w:rsidRPr="00C7226C">
        <w:rPr>
          <w:rFonts w:ascii="Times New Roman" w:eastAsia="Calibri" w:hAnsi="Times New Roman" w:cs="Times New Roman"/>
          <w:b/>
        </w:rPr>
        <w:t>условием</w:t>
      </w:r>
      <w:r w:rsidR="00A11E52" w:rsidRPr="003A7AAC">
        <w:rPr>
          <w:rFonts w:ascii="Times New Roman" w:eastAsia="Calibri" w:hAnsi="Times New Roman" w:cs="Times New Roman"/>
        </w:rPr>
        <w:t xml:space="preserve"> реализации предлагаемой модели мониторинга является интеграция деятельности всех структурных подразделений учебного заведения и активное участие каждого педагога, учащегося в достижении наивысшего уровня к</w:t>
      </w:r>
      <w:r w:rsidRPr="003A7AAC">
        <w:rPr>
          <w:rFonts w:ascii="Times New Roman" w:eastAsia="Calibri" w:hAnsi="Times New Roman" w:cs="Times New Roman"/>
        </w:rPr>
        <w:t xml:space="preserve">ачества образования в </w:t>
      </w:r>
      <w:r w:rsidR="00A11E52" w:rsidRPr="003A7AAC">
        <w:rPr>
          <w:rFonts w:ascii="Times New Roman" w:eastAsia="Calibri" w:hAnsi="Times New Roman" w:cs="Times New Roman"/>
        </w:rPr>
        <w:t xml:space="preserve">  школе.</w:t>
      </w:r>
    </w:p>
    <w:p w:rsidR="00A11E52" w:rsidRPr="003A7AAC" w:rsidRDefault="00A11E52" w:rsidP="00D366A3">
      <w:pPr>
        <w:pStyle w:val="a9"/>
        <w:jc w:val="both"/>
        <w:rPr>
          <w:rFonts w:ascii="Times New Roman" w:eastAsia="Calibri" w:hAnsi="Times New Roman" w:cs="Times New Roman"/>
        </w:rPr>
      </w:pPr>
      <w:r w:rsidRPr="003A7AAC">
        <w:rPr>
          <w:rFonts w:ascii="Times New Roman" w:eastAsia="Calibri" w:hAnsi="Times New Roman" w:cs="Times New Roman"/>
        </w:rPr>
        <w:tab/>
      </w:r>
      <w:r w:rsidRPr="00C7226C">
        <w:rPr>
          <w:rFonts w:ascii="Times New Roman" w:eastAsia="Calibri" w:hAnsi="Times New Roman" w:cs="Times New Roman"/>
          <w:b/>
        </w:rPr>
        <w:t>Объектом</w:t>
      </w:r>
      <w:r w:rsidRPr="003A7AAC">
        <w:rPr>
          <w:rFonts w:ascii="Times New Roman" w:eastAsia="Calibri" w:hAnsi="Times New Roman" w:cs="Times New Roman"/>
        </w:rPr>
        <w:t xml:space="preserve"> мон</w:t>
      </w:r>
      <w:r w:rsidR="005937A2" w:rsidRPr="003A7AAC">
        <w:rPr>
          <w:rFonts w:ascii="Times New Roman" w:eastAsia="Calibri" w:hAnsi="Times New Roman" w:cs="Times New Roman"/>
        </w:rPr>
        <w:t xml:space="preserve">иторинга является  </w:t>
      </w:r>
      <w:r w:rsidRPr="003A7AAC">
        <w:rPr>
          <w:rFonts w:ascii="Times New Roman" w:eastAsia="Calibri" w:hAnsi="Times New Roman" w:cs="Times New Roman"/>
        </w:rPr>
        <w:t xml:space="preserve"> интеграция, включающая учащихся и педагогов, нормативное и процессуальное сопровождение, образовательные, профессиональные и личностные достижения всех участников образовательного взаимодействия и у</w:t>
      </w:r>
      <w:r w:rsidR="005937A2" w:rsidRPr="003A7AAC">
        <w:rPr>
          <w:rFonts w:ascii="Times New Roman" w:eastAsia="Calibri" w:hAnsi="Times New Roman" w:cs="Times New Roman"/>
        </w:rPr>
        <w:t xml:space="preserve">правления качеством  </w:t>
      </w:r>
      <w:r w:rsidRPr="003A7AAC">
        <w:rPr>
          <w:rFonts w:ascii="Times New Roman" w:eastAsia="Calibri" w:hAnsi="Times New Roman" w:cs="Times New Roman"/>
        </w:rPr>
        <w:t xml:space="preserve"> обучения.</w:t>
      </w:r>
    </w:p>
    <w:p w:rsidR="00A11E52" w:rsidRPr="003A7AAC" w:rsidRDefault="00A11E52" w:rsidP="00D366A3">
      <w:pPr>
        <w:pStyle w:val="a9"/>
        <w:jc w:val="both"/>
        <w:rPr>
          <w:rFonts w:ascii="Times New Roman" w:eastAsia="Calibri" w:hAnsi="Times New Roman" w:cs="Times New Roman"/>
        </w:rPr>
      </w:pPr>
      <w:r w:rsidRPr="003A7AAC">
        <w:rPr>
          <w:rFonts w:ascii="Times New Roman" w:eastAsia="Calibri" w:hAnsi="Times New Roman" w:cs="Times New Roman"/>
        </w:rPr>
        <w:tab/>
        <w:t>Целью предлагаемой модели мониторинга является отслеживание хода и промежуточных результатов уп</w:t>
      </w:r>
      <w:r w:rsidR="005937A2" w:rsidRPr="003A7AAC">
        <w:rPr>
          <w:rFonts w:ascii="Times New Roman" w:eastAsia="Calibri" w:hAnsi="Times New Roman" w:cs="Times New Roman"/>
        </w:rPr>
        <w:t>равляемого процесса  образования</w:t>
      </w:r>
      <w:r w:rsidRPr="003A7AAC">
        <w:rPr>
          <w:rFonts w:ascii="Times New Roman" w:eastAsia="Calibri" w:hAnsi="Times New Roman" w:cs="Times New Roman"/>
        </w:rPr>
        <w:t xml:space="preserve"> </w:t>
      </w:r>
      <w:r w:rsidR="005937A2" w:rsidRPr="003A7AAC">
        <w:rPr>
          <w:rFonts w:ascii="Times New Roman" w:eastAsia="Calibri" w:hAnsi="Times New Roman" w:cs="Times New Roman"/>
        </w:rPr>
        <w:t xml:space="preserve">в соответствии с </w:t>
      </w:r>
      <w:r w:rsidRPr="003A7AAC">
        <w:rPr>
          <w:rFonts w:ascii="Times New Roman" w:eastAsia="Calibri" w:hAnsi="Times New Roman" w:cs="Times New Roman"/>
        </w:rPr>
        <w:t>требованиям</w:t>
      </w:r>
      <w:r w:rsidR="005937A2" w:rsidRPr="003A7AAC">
        <w:rPr>
          <w:rFonts w:ascii="Times New Roman" w:eastAsia="Calibri" w:hAnsi="Times New Roman" w:cs="Times New Roman"/>
        </w:rPr>
        <w:t>и ФГОС</w:t>
      </w:r>
      <w:r w:rsidRPr="003A7AAC">
        <w:rPr>
          <w:rFonts w:ascii="Times New Roman" w:eastAsia="Calibri" w:hAnsi="Times New Roman" w:cs="Times New Roman"/>
        </w:rPr>
        <w:t xml:space="preserve">.  </w:t>
      </w:r>
    </w:p>
    <w:p w:rsidR="00762377" w:rsidRPr="003A7AAC" w:rsidRDefault="005937A2" w:rsidP="0059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мониторинг играет важную роль в эффективности управления учебным заведением, создает необходимое информационное обеспечение образовательного процесса. Это новое, современное средство контроля с целью диагностики, которое позволяет по-другому взглянуть на весь учебно-воспитательный процесс. </w:t>
      </w:r>
    </w:p>
    <w:p w:rsidR="00762377" w:rsidRPr="003A7AAC" w:rsidRDefault="00762377" w:rsidP="00D3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показателей педагогического мониторинга может включать в себя следующие группы: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5937A2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успеваемость и качество </w:t>
      </w: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5937A2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предметам;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удовлетворение образовательных потребностей;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воспитанность учащихся;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состояние здоровья,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системность, современность содержания образования, обеспечиваемого образовательной программой и т. д. </w:t>
      </w:r>
      <w:r w:rsidR="00D366A3" w:rsidRPr="003A7AAC">
        <w:rPr>
          <w:lang w:eastAsia="ru-RU"/>
        </w:rPr>
        <w:t xml:space="preserve"> 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мониторинг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предназначен для обеспечения педагога и администрации качественной и своевременной информацией, необходимой для принятия управленческих решений;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должен определять насколько рациональны педагогические средства и методы, реализуемые в педагогическом процессе;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предполагает анализ причин несоответствия качества образования обучающихся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определенным нормам;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осуществляет поиск резервов повышения эффективности учебного процесса. </w:t>
      </w:r>
      <w:proofErr w:type="gramEnd"/>
    </w:p>
    <w:p w:rsidR="0051679D" w:rsidRDefault="0051679D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деятельности</w:t>
      </w:r>
      <w:r w:rsidR="00F702AE"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Целью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модели мониторинга является прогноз и обеспечение повышения успеваемости и качества знаний учащихся.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данной цели необходима реализация следующих </w:t>
      </w:r>
      <w:r w:rsidRPr="00C7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разработать </w:t>
      </w:r>
      <w:r w:rsidR="00F702AE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сбора информации;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организовать </w:t>
      </w:r>
      <w:r w:rsidR="00F702AE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разработать</w:t>
      </w:r>
      <w:r w:rsidR="00F702AE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для обобщения, классификации и первичного анализа информации в электронном виде;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организовать обработку и ввод информации в базы данных;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создать информационный банк данных фактического состояния педагогического процесса в школе;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создать аналитические, справочные материалы и прогнозировать процесс успеваемости</w:t>
      </w:r>
      <w:r w:rsidR="00F702AE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учащихся;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разработать систему действий в школе, предупреждающих развитие негативных явлений в ее образовательной среде;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совершенствовать технологию мониторинга системы образования в образовательном учреждении;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привлекать к активному сотрудничеству всех участников модели мониторинга. </w:t>
      </w:r>
    </w:p>
    <w:p w:rsidR="00762377" w:rsidRPr="003A7AAC" w:rsidRDefault="00762377" w:rsidP="00F7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деятельности в модели мониторинга предполагает: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координацию деятельности всех объектов мониторинга, обеспечивающих образовательный процесс ОУ;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сбор и накопление информации об успеваемости и качестве знаний учащихся, создание банка данных, обеспечение индивидуальной поддержки учащихся и педагогов;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определение уровня профессиональной компетентности учителей, уровня готовности притязаний и возможностей каждого педагога работать в режиме личного развития и в режиме развития конкретного обучающегося;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организацию анализа, обобщения и распространения результатов мониторинга, обеспечение гласности результатов мониторинга через информационные педагогические советы, заседания МО, родительские собрания, индивидуальные беседы с педагогами, классными руководителями, учащимися, родителями.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модели мониторинга осуществляется в три этапа: </w:t>
      </w:r>
    </w:p>
    <w:p w:rsidR="00762377" w:rsidRPr="003A7AAC" w:rsidRDefault="00762377" w:rsidP="00F7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постановка цели, определение задач; </w:t>
      </w:r>
    </w:p>
    <w:p w:rsidR="00762377" w:rsidRPr="003A7AAC" w:rsidRDefault="00762377" w:rsidP="00F7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этап.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Практический </w:t>
      </w: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сбор и обработка информации (административные контрольные работы, успеваемость и качество знаний по четвертям и за год, качество итоговой аттестации выпускников); </w:t>
      </w:r>
    </w:p>
    <w:p w:rsidR="00762377" w:rsidRPr="003A7AAC" w:rsidRDefault="00762377" w:rsidP="00F7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этап.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Аналитический</w:t>
      </w:r>
      <w:r w:rsidRPr="00C72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систематизация полученной информации, анализ полученных данных, делаются выводы и разрабатываются рекомендации и предложения для дальнейшей работы; </w:t>
      </w:r>
    </w:p>
    <w:p w:rsidR="00762377" w:rsidRPr="00C7226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Объекты мониторинга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Объектами модели педагогического мониторинга являются все участники образовательного процесса: администрация, классные руководители, учителя, ученики</w:t>
      </w: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</w:t>
      </w:r>
      <w:proofErr w:type="gramStart"/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proofErr w:type="gramEnd"/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ученика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его рейтинг в классе и динамика успешности обучения по четвертям и учебным годам, начиная с 4 класса до выпуска; составляется долгосрочная индивидуальная карта успешности;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</w:t>
      </w: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учителя-предметника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степень сложности предмета для усвоения учащимися, что позволяет сделать вывод об эффективности и </w:t>
      </w: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для преподавания педагогом методик; осуществляется сопоставление результатов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с четвертными, годовыми, экзаменационными оценками (т.е. оценивается уровень преподавания предмета);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</w:t>
      </w: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классного руководителя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уровень учебной мотивации класса и зоны учебной проблематики класса;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</w:t>
      </w: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</w:t>
      </w:r>
      <w:r w:rsidRPr="00C72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общая успеваемость по школе в течение исследуемого периода;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индивидуально-дифференцированно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диагностируется успешность обучения каждого ученика; определяется перспективное планирование мероприятий по повышению качества обучения и своевременной профилактики неуспеваемости по школе. </w:t>
      </w:r>
    </w:p>
    <w:p w:rsidR="00F702AE" w:rsidRPr="003A7AAC" w:rsidRDefault="00F702AE" w:rsidP="00D366A3">
      <w:pPr>
        <w:pStyle w:val="a9"/>
        <w:rPr>
          <w:rFonts w:ascii="Times New Roman" w:hAnsi="Times New Roman" w:cs="Times New Roman"/>
          <w:sz w:val="24"/>
          <w:szCs w:val="24"/>
        </w:rPr>
      </w:pPr>
      <w:r w:rsidRPr="00C7226C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  <w:r w:rsidRPr="003A7AAC">
        <w:rPr>
          <w:rFonts w:ascii="Times New Roman" w:hAnsi="Times New Roman" w:cs="Times New Roman"/>
          <w:sz w:val="24"/>
          <w:szCs w:val="24"/>
        </w:rPr>
        <w:t>:</w:t>
      </w:r>
      <w:r w:rsidR="00D366A3" w:rsidRPr="003A7AAC">
        <w:rPr>
          <w:rFonts w:ascii="Times New Roman" w:hAnsi="Times New Roman" w:cs="Times New Roman"/>
          <w:sz w:val="24"/>
          <w:szCs w:val="24"/>
        </w:rPr>
        <w:t xml:space="preserve"> м</w:t>
      </w:r>
      <w:r w:rsidRPr="003A7AAC">
        <w:rPr>
          <w:rFonts w:ascii="Times New Roman" w:hAnsi="Times New Roman" w:cs="Times New Roman"/>
          <w:sz w:val="24"/>
          <w:szCs w:val="24"/>
        </w:rPr>
        <w:t>оделирование;</w:t>
      </w:r>
      <w:r w:rsidR="00D366A3" w:rsidRPr="003A7AAC">
        <w:rPr>
          <w:rFonts w:ascii="Times New Roman" w:hAnsi="Times New Roman" w:cs="Times New Roman"/>
          <w:sz w:val="24"/>
          <w:szCs w:val="24"/>
        </w:rPr>
        <w:t xml:space="preserve"> э</w:t>
      </w:r>
      <w:r w:rsidRPr="003A7AAC">
        <w:rPr>
          <w:rFonts w:ascii="Times New Roman" w:hAnsi="Times New Roman" w:cs="Times New Roman"/>
          <w:sz w:val="24"/>
          <w:szCs w:val="24"/>
        </w:rPr>
        <w:t>кспертный опрос;</w:t>
      </w:r>
      <w:r w:rsidR="00D366A3" w:rsidRPr="003A7AAC">
        <w:rPr>
          <w:rFonts w:ascii="Times New Roman" w:hAnsi="Times New Roman" w:cs="Times New Roman"/>
          <w:sz w:val="24"/>
          <w:szCs w:val="24"/>
        </w:rPr>
        <w:t xml:space="preserve"> н</w:t>
      </w:r>
      <w:r w:rsidRPr="003A7AAC">
        <w:rPr>
          <w:rFonts w:ascii="Times New Roman" w:hAnsi="Times New Roman" w:cs="Times New Roman"/>
          <w:sz w:val="24"/>
          <w:szCs w:val="24"/>
        </w:rPr>
        <w:t>аблюдение;</w:t>
      </w:r>
    </w:p>
    <w:p w:rsidR="00762377" w:rsidRPr="003A7AAC" w:rsidRDefault="00D366A3" w:rsidP="00D366A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3A7AAC">
        <w:rPr>
          <w:rFonts w:ascii="Times New Roman" w:hAnsi="Times New Roman" w:cs="Times New Roman"/>
          <w:sz w:val="24"/>
          <w:szCs w:val="24"/>
        </w:rPr>
        <w:t>и</w:t>
      </w:r>
      <w:r w:rsidR="00F702AE" w:rsidRPr="003A7AAC">
        <w:rPr>
          <w:rFonts w:ascii="Times New Roman" w:hAnsi="Times New Roman" w:cs="Times New Roman"/>
          <w:sz w:val="24"/>
          <w:szCs w:val="24"/>
        </w:rPr>
        <w:t>зучение и анализ документов;</w:t>
      </w:r>
      <w:r w:rsidRPr="003A7AAC">
        <w:rPr>
          <w:rFonts w:ascii="Times New Roman" w:hAnsi="Times New Roman" w:cs="Times New Roman"/>
          <w:sz w:val="24"/>
          <w:szCs w:val="24"/>
        </w:rPr>
        <w:t xml:space="preserve"> т</w:t>
      </w:r>
      <w:r w:rsidR="00F702AE" w:rsidRPr="003A7AAC">
        <w:rPr>
          <w:rFonts w:ascii="Times New Roman" w:hAnsi="Times New Roman" w:cs="Times New Roman"/>
          <w:sz w:val="24"/>
          <w:szCs w:val="24"/>
        </w:rPr>
        <w:t>естирование;</w:t>
      </w:r>
      <w:r w:rsidRPr="003A7AAC">
        <w:rPr>
          <w:rFonts w:ascii="Times New Roman" w:hAnsi="Times New Roman" w:cs="Times New Roman"/>
          <w:sz w:val="24"/>
          <w:szCs w:val="24"/>
        </w:rPr>
        <w:t xml:space="preserve"> а</w:t>
      </w:r>
      <w:r w:rsidR="00F702AE" w:rsidRPr="003A7AAC">
        <w:rPr>
          <w:rFonts w:ascii="Times New Roman" w:hAnsi="Times New Roman" w:cs="Times New Roman"/>
          <w:sz w:val="24"/>
          <w:szCs w:val="24"/>
        </w:rPr>
        <w:t>нкетирование;</w:t>
      </w:r>
      <w:r w:rsidRPr="003A7AAC">
        <w:rPr>
          <w:rFonts w:ascii="Times New Roman" w:hAnsi="Times New Roman" w:cs="Times New Roman"/>
          <w:sz w:val="24"/>
          <w:szCs w:val="24"/>
        </w:rPr>
        <w:t xml:space="preserve"> к</w:t>
      </w:r>
      <w:r w:rsidR="00F702AE" w:rsidRPr="003A7AAC">
        <w:rPr>
          <w:rFonts w:ascii="Times New Roman" w:hAnsi="Times New Roman" w:cs="Times New Roman"/>
          <w:sz w:val="24"/>
          <w:szCs w:val="24"/>
        </w:rPr>
        <w:t>онтрольные срезы знаний;</w:t>
      </w:r>
      <w:r w:rsidRPr="003A7AAC">
        <w:rPr>
          <w:rFonts w:ascii="Times New Roman" w:hAnsi="Times New Roman" w:cs="Times New Roman"/>
          <w:sz w:val="24"/>
          <w:szCs w:val="24"/>
        </w:rPr>
        <w:t xml:space="preserve"> с</w:t>
      </w:r>
      <w:r w:rsidR="00F702AE" w:rsidRPr="003A7AAC">
        <w:rPr>
          <w:rFonts w:ascii="Times New Roman" w:hAnsi="Times New Roman" w:cs="Times New Roman"/>
          <w:sz w:val="24"/>
          <w:szCs w:val="24"/>
        </w:rPr>
        <w:t>амооценка.</w:t>
      </w:r>
      <w:r w:rsidRPr="003A7AAC">
        <w:rPr>
          <w:rFonts w:ascii="Times New Roman" w:hAnsi="Times New Roman" w:cs="Times New Roman"/>
          <w:sz w:val="24"/>
          <w:szCs w:val="24"/>
        </w:rPr>
        <w:t xml:space="preserve"> </w:t>
      </w:r>
      <w:r w:rsidR="00762377"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Компоненты мониторинга 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условия, процесс и результат мониторинга. </w:t>
      </w:r>
    </w:p>
    <w:p w:rsidR="00762377" w:rsidRPr="003A7AAC" w:rsidRDefault="00762377" w:rsidP="005B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Процесс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мониторинга предполагает: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организацию педагогического мониторинга заместителем директора по учебной работе согласно его функциональным обязанностям и в соответствии с целями и задачами образовательного учреждения;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проведение мониторинговых наблюдений строго по утвержденной программе, которая отвечает требованиям актуальности (соответствие образовательным потребностям), реалистичности (соответствие имеющимся возможностям школы) и системности (полнота компонентов и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скоординированность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между ними);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набор и форма показателей мониторинга </w:t>
      </w: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постоянны в течение установленного периода времени; </w:t>
      </w:r>
    </w:p>
    <w:p w:rsidR="00762377" w:rsidRPr="003A7AAC" w:rsidRDefault="005B4D95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Предполагаемый </w:t>
      </w:r>
      <w:r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</w:t>
      </w:r>
      <w:r w:rsidR="00762377" w:rsidRPr="00C722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езультат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мониторинга: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сохранение успеваемости по школе на оптимальном уровне - 100% (по результатам года);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поддержание качества успеваемости по школе до 50 % и выше; </w:t>
      </w:r>
    </w:p>
    <w:p w:rsidR="00762377" w:rsidRPr="00C7226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работы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Постоянными ежегодными </w:t>
      </w: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этапами работы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период мониторинга являются: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сбор информации по результатам четвертей и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преобразование информации в разработанную форму;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принятие управленческого решения (вырабатываются предложения и рекомендации, создающие основу для дальнейшего совершенствования работы педагогического коллектива или отдельных учителей по формированию у учащихся системы качества знаний);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 контроль за выполнением решения. </w:t>
      </w:r>
      <w:proofErr w:type="gramEnd"/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Сроки проведения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долгосрочного мониторинга</w:t>
      </w: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4D95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2010 по 2014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72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мониторингу</w:t>
      </w: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2377" w:rsidRPr="003A7AAC" w:rsidRDefault="00193907" w:rsidP="0019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как способ повышения успеваемости и качества обучения учащихся» - это долгосрочный проект социального и учебно-образовательного типа, составная часть программы развития школы. </w:t>
      </w:r>
    </w:p>
    <w:p w:rsidR="00762377" w:rsidRPr="003A7AAC" w:rsidRDefault="00762377" w:rsidP="0019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каждого классного руководителя есть электронная таблица, выполненная в программе MS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где по вертикали приведен список класса, в горизонтальных рядах – названия предметов. В электронный вариант таблицы по окончанию четверти (полугодия) заносится полная ведомость успеваемости учащихся за четверть. Информация обрабатывается определенным образом и по ней комплектуется единый электронный банк данных по школе. </w:t>
      </w:r>
    </w:p>
    <w:p w:rsidR="00762377" w:rsidRPr="003A7AAC" w:rsidRDefault="00762377" w:rsidP="0019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Бумажный вариант данной электронной формы по классам оформляется в папки, с которыми работают администрация, классный руководитель, учителя – предметники, руководители МО и родители. </w:t>
      </w:r>
    </w:p>
    <w:p w:rsidR="00762377" w:rsidRPr="003A7AAC" w:rsidRDefault="00762377" w:rsidP="0019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</w:t>
      </w:r>
      <w:r w:rsidR="005B4D95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идуальные папки сформированы с 1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11 классы и представляют собой </w:t>
      </w:r>
      <w:r w:rsidR="005B4D95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B4D95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5B4D95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учащихся», в </w:t>
      </w:r>
      <w:proofErr w:type="gramStart"/>
      <w:r w:rsidR="005B4D95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отражена учебная отчетность за четверть (полугодие) по классам и результаты сравнения </w:t>
      </w:r>
      <w:proofErr w:type="spell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 с итоговыми отметками. </w:t>
      </w:r>
    </w:p>
    <w:p w:rsidR="00762377" w:rsidRPr="003A7AAC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 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907" w:rsidRPr="00C72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мониторинга</w:t>
      </w:r>
      <w:r w:rsidR="005B4D95" w:rsidRPr="00C7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93907" w:rsidRPr="003A7AAC" w:rsidRDefault="001D3DA1" w:rsidP="00193907">
      <w:pPr>
        <w:pStyle w:val="ab"/>
        <w:keepNext/>
        <w:jc w:val="center"/>
        <w:rPr>
          <w:b w:val="0"/>
          <w:sz w:val="24"/>
          <w:szCs w:val="24"/>
        </w:rPr>
      </w:pPr>
      <w:r w:rsidRPr="003A7AAC">
        <w:rPr>
          <w:b w:val="0"/>
          <w:sz w:val="24"/>
          <w:szCs w:val="24"/>
        </w:rPr>
        <w:t xml:space="preserve">Мониторинг </w:t>
      </w:r>
      <w:r w:rsidR="00193907" w:rsidRPr="003A7AAC">
        <w:rPr>
          <w:b w:val="0"/>
          <w:sz w:val="24"/>
          <w:szCs w:val="24"/>
        </w:rPr>
        <w:t xml:space="preserve"> результативности</w:t>
      </w:r>
    </w:p>
    <w:p w:rsidR="00193907" w:rsidRPr="003A7AAC" w:rsidRDefault="001D3DA1" w:rsidP="00915AD4">
      <w:pPr>
        <w:pStyle w:val="ab"/>
        <w:keepNext/>
        <w:jc w:val="center"/>
        <w:rPr>
          <w:b w:val="0"/>
          <w:sz w:val="24"/>
          <w:szCs w:val="24"/>
        </w:rPr>
      </w:pPr>
      <w:r w:rsidRPr="003A7AAC">
        <w:rPr>
          <w:b w:val="0"/>
          <w:sz w:val="24"/>
          <w:szCs w:val="24"/>
        </w:rPr>
        <w:t xml:space="preserve">в </w:t>
      </w:r>
      <w:proofErr w:type="gramStart"/>
      <w:r w:rsidRPr="003A7AAC">
        <w:rPr>
          <w:b w:val="0"/>
          <w:sz w:val="24"/>
          <w:szCs w:val="24"/>
        </w:rPr>
        <w:t>6</w:t>
      </w:r>
      <w:proofErr w:type="gramEnd"/>
      <w:r w:rsidRPr="003A7AAC">
        <w:rPr>
          <w:b w:val="0"/>
          <w:sz w:val="24"/>
          <w:szCs w:val="24"/>
        </w:rPr>
        <w:t xml:space="preserve"> а</w:t>
      </w:r>
      <w:r w:rsidR="00193907" w:rsidRPr="003A7AAC">
        <w:rPr>
          <w:b w:val="0"/>
          <w:sz w:val="24"/>
          <w:szCs w:val="24"/>
        </w:rPr>
        <w:t xml:space="preserve"> классе</w:t>
      </w:r>
      <w:r w:rsidR="00915AD4" w:rsidRPr="003A7AAC">
        <w:rPr>
          <w:b w:val="0"/>
          <w:sz w:val="24"/>
          <w:szCs w:val="24"/>
        </w:rPr>
        <w:t xml:space="preserve"> </w:t>
      </w:r>
      <w:r w:rsidRPr="003A7AAC">
        <w:rPr>
          <w:b w:val="0"/>
          <w:sz w:val="24"/>
          <w:szCs w:val="24"/>
        </w:rPr>
        <w:t>по русскому языку</w:t>
      </w:r>
      <w:r w:rsidR="00915AD4" w:rsidRPr="003A7AAC">
        <w:rPr>
          <w:b w:val="0"/>
          <w:sz w:val="24"/>
          <w:szCs w:val="24"/>
        </w:rPr>
        <w:t xml:space="preserve">   </w:t>
      </w:r>
      <w:r w:rsidR="00193907" w:rsidRPr="003A7AAC">
        <w:rPr>
          <w:b w:val="0"/>
          <w:sz w:val="24"/>
          <w:szCs w:val="24"/>
        </w:rPr>
        <w:t xml:space="preserve">за 2011 – 2012 учебный год. </w:t>
      </w:r>
    </w:p>
    <w:p w:rsidR="001D3DA1" w:rsidRPr="003A7AAC" w:rsidRDefault="00193907" w:rsidP="000F1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571625"/>
            <wp:effectExtent l="57150" t="0" r="38100" b="28575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2377" w:rsidRPr="003A7AAC" w:rsidRDefault="00915AD4" w:rsidP="0091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четверти (полугодию) отслеживается индивидуальная успеваемость по предмету каждого ученика, его средний балл и рейтинг ученика по среднему баллу в классе. </w:t>
      </w:r>
    </w:p>
    <w:p w:rsidR="00915AD4" w:rsidRPr="005A758B" w:rsidRDefault="00915AD4" w:rsidP="005A75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7AAC">
        <w:rPr>
          <w:rFonts w:ascii="Times New Roman" w:hAnsi="Times New Roman"/>
          <w:sz w:val="24"/>
          <w:szCs w:val="24"/>
        </w:rPr>
        <w:t>Диаграмма контрольных работ</w:t>
      </w:r>
      <w:r w:rsidR="000F113C" w:rsidRPr="003A7AAC">
        <w:rPr>
          <w:rFonts w:ascii="Times New Roman" w:hAnsi="Times New Roman"/>
          <w:sz w:val="24"/>
          <w:szCs w:val="24"/>
        </w:rPr>
        <w:t xml:space="preserve">   </w:t>
      </w:r>
      <w:r w:rsidRPr="003A7AAC">
        <w:rPr>
          <w:rFonts w:ascii="Times New Roman" w:hAnsi="Times New Roman"/>
          <w:sz w:val="24"/>
          <w:szCs w:val="24"/>
        </w:rPr>
        <w:t>по математике   в 3</w:t>
      </w:r>
      <w:proofErr w:type="gramStart"/>
      <w:r w:rsidRPr="003A7AAC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A7AAC">
        <w:rPr>
          <w:rFonts w:ascii="Times New Roman" w:hAnsi="Times New Roman"/>
          <w:sz w:val="24"/>
          <w:szCs w:val="24"/>
        </w:rPr>
        <w:t xml:space="preserve"> классе </w:t>
      </w:r>
      <w:r w:rsidR="000F113C" w:rsidRPr="003A7AAC">
        <w:rPr>
          <w:rFonts w:ascii="Times New Roman" w:hAnsi="Times New Roman"/>
          <w:sz w:val="24"/>
          <w:szCs w:val="24"/>
        </w:rPr>
        <w:t xml:space="preserve"> </w:t>
      </w:r>
      <w:r w:rsidRPr="003A7AAC">
        <w:rPr>
          <w:rFonts w:ascii="Times New Roman" w:hAnsi="Times New Roman"/>
          <w:sz w:val="24"/>
          <w:szCs w:val="24"/>
        </w:rPr>
        <w:t>за 2011 – 2012 учебный год</w:t>
      </w:r>
      <w:r w:rsidR="000F113C" w:rsidRPr="003A7AAC">
        <w:rPr>
          <w:rFonts w:ascii="Times New Roman" w:hAnsi="Times New Roman"/>
          <w:sz w:val="24"/>
          <w:szCs w:val="24"/>
        </w:rPr>
        <w:t xml:space="preserve">    </w:t>
      </w:r>
      <w:r w:rsidR="000F113C" w:rsidRPr="003A7A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171575"/>
            <wp:effectExtent l="1905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5AD4" w:rsidRPr="003A7AAC" w:rsidRDefault="001D3DA1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диаграммы выполняются по всем предметам.</w:t>
      </w:r>
    </w:p>
    <w:p w:rsidR="00193907" w:rsidRPr="003A7AAC" w:rsidRDefault="00193907" w:rsidP="0019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успеваемости в</w:t>
      </w:r>
      <w:r w:rsidR="001D3DA1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193907" w:rsidRPr="003A7AAC" w:rsidRDefault="00193907" w:rsidP="001939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7AA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86200" cy="1485900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3DA1" w:rsidRPr="003A7AAC" w:rsidRDefault="001D3DA1" w:rsidP="001D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каждому предмету высчитывается процент качества и процент успеваемости, кроме этого ведется статистика неудовлетворительных оценок в процентном соотношении. </w:t>
      </w:r>
    </w:p>
    <w:p w:rsidR="004660AA" w:rsidRPr="003A7AAC" w:rsidRDefault="004660AA" w:rsidP="001D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«Сопоставление результатов административных контрольных работ с итогами года» состоит из </w:t>
      </w:r>
      <w:r w:rsidRPr="003A7A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таблицы сравнения</w:t>
      </w:r>
      <w:r w:rsidRPr="003A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"/>
        <w:gridCol w:w="863"/>
        <w:gridCol w:w="1045"/>
        <w:gridCol w:w="1070"/>
        <w:gridCol w:w="1329"/>
        <w:gridCol w:w="884"/>
        <w:gridCol w:w="1166"/>
      </w:tblGrid>
      <w:tr w:rsidR="009347DD" w:rsidRPr="003A7AAC" w:rsidTr="004D46E5">
        <w:trPr>
          <w:trHeight w:hRule="exact" w:val="355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rPr>
                <w:rStyle w:val="CharStyle18"/>
              </w:rPr>
            </w:pPr>
            <w:r w:rsidRPr="003A7AAC">
              <w:rPr>
                <w:rStyle w:val="CharStyle18"/>
              </w:rPr>
              <w:t xml:space="preserve">Процент </w:t>
            </w:r>
            <w:proofErr w:type="spellStart"/>
            <w:r w:rsidRPr="003A7AAC">
              <w:rPr>
                <w:rStyle w:val="CharStyle18"/>
              </w:rPr>
              <w:t>обученности</w:t>
            </w:r>
            <w:proofErr w:type="spellEnd"/>
            <w:r w:rsidRPr="003A7AAC">
              <w:rPr>
                <w:rStyle w:val="CharStyle18"/>
              </w:rPr>
              <w:t xml:space="preserve"> и качества знаний</w:t>
            </w:r>
          </w:p>
        </w:tc>
      </w:tr>
      <w:tr w:rsidR="009347DD" w:rsidRPr="003A7AAC" w:rsidTr="004D46E5">
        <w:trPr>
          <w:trHeight w:hRule="exact" w:val="462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Классы</w:t>
            </w: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20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 xml:space="preserve">2009-2010 </w:t>
            </w:r>
            <w:proofErr w:type="spellStart"/>
            <w:r w:rsidRPr="003A7AAC">
              <w:rPr>
                <w:rStyle w:val="CharStyle18"/>
              </w:rPr>
              <w:t>уч</w:t>
            </w:r>
            <w:proofErr w:type="gramStart"/>
            <w:r w:rsidRPr="003A7AAC">
              <w:rPr>
                <w:rStyle w:val="CharStyle18"/>
              </w:rPr>
              <w:t>.г</w:t>
            </w:r>
            <w:proofErr w:type="spellEnd"/>
            <w:proofErr w:type="gramEnd"/>
          </w:p>
        </w:tc>
        <w:tc>
          <w:tcPr>
            <w:tcW w:w="239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right="220"/>
              <w:jc w:val="right"/>
              <w:rPr>
                <w:rStyle w:val="CharStyle18"/>
              </w:rPr>
            </w:pPr>
            <w:r w:rsidRPr="003A7AAC">
              <w:rPr>
                <w:rStyle w:val="CharStyle18"/>
              </w:rPr>
              <w:t xml:space="preserve">2010-2011 </w:t>
            </w:r>
            <w:proofErr w:type="spellStart"/>
            <w:r w:rsidRPr="003A7AAC">
              <w:rPr>
                <w:rStyle w:val="CharStyle18"/>
              </w:rPr>
              <w:t>уч</w:t>
            </w:r>
            <w:proofErr w:type="gramStart"/>
            <w:r w:rsidRPr="003A7AAC">
              <w:rPr>
                <w:rStyle w:val="CharStyle18"/>
              </w:rPr>
              <w:t>.г</w:t>
            </w:r>
            <w:proofErr w:type="spellEnd"/>
            <w:proofErr w:type="gramEnd"/>
          </w:p>
        </w:tc>
        <w:tc>
          <w:tcPr>
            <w:tcW w:w="205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327" w:lineRule="exact"/>
              <w:ind w:left="160" w:firstLine="3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2011-2012уч. г полугодие</w:t>
            </w:r>
          </w:p>
        </w:tc>
      </w:tr>
      <w:tr w:rsidR="009347DD" w:rsidRPr="003A7AAC" w:rsidTr="004D46E5">
        <w:trPr>
          <w:trHeight w:hRule="exact" w:val="344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1-е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65%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67%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70%</w:t>
            </w:r>
          </w:p>
        </w:tc>
      </w:tr>
      <w:tr w:rsidR="009347DD" w:rsidRPr="003A7AAC" w:rsidTr="004D46E5">
        <w:trPr>
          <w:trHeight w:hRule="exact" w:val="338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2-е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64%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65,5%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68%</w:t>
            </w:r>
          </w:p>
        </w:tc>
      </w:tr>
      <w:tr w:rsidR="009347DD" w:rsidRPr="003A7AAC" w:rsidTr="004D46E5">
        <w:trPr>
          <w:trHeight w:hRule="exact" w:val="342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3-и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74%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78%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78,5%</w:t>
            </w:r>
          </w:p>
        </w:tc>
      </w:tr>
      <w:tr w:rsidR="009347DD" w:rsidRPr="003A7AAC" w:rsidTr="004D46E5">
        <w:trPr>
          <w:trHeight w:hRule="exact" w:val="348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4-е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67%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9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9"/>
              </w:rPr>
              <w:t>69</w:t>
            </w:r>
            <w:r w:rsidRPr="003A7AAC">
              <w:rPr>
                <w:rStyle w:val="CharStyle2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71%</w:t>
            </w:r>
          </w:p>
        </w:tc>
      </w:tr>
      <w:tr w:rsidR="009347DD" w:rsidRPr="003A7AAC" w:rsidTr="004D46E5">
        <w:trPr>
          <w:trHeight w:hRule="exact" w:val="227"/>
        </w:trPr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Итого: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62%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2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64%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rStyle w:val="CharStyle18"/>
              </w:rPr>
            </w:pPr>
            <w:r w:rsidRPr="003A7AAC">
              <w:rPr>
                <w:rStyle w:val="CharStyle18"/>
              </w:rPr>
              <w:t>100%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347DD" w:rsidRPr="003A7AAC" w:rsidRDefault="009347DD" w:rsidP="00F03836">
            <w:pPr>
              <w:pStyle w:val="2"/>
              <w:shd w:val="clear" w:color="auto" w:fill="auto"/>
              <w:spacing w:line="240" w:lineRule="exact"/>
              <w:ind w:left="140"/>
              <w:jc w:val="left"/>
              <w:rPr>
                <w:sz w:val="24"/>
                <w:szCs w:val="24"/>
              </w:rPr>
            </w:pPr>
            <w:r w:rsidRPr="003A7AAC">
              <w:rPr>
                <w:rStyle w:val="CharStyle18"/>
              </w:rPr>
              <w:t>65,5%</w:t>
            </w:r>
          </w:p>
        </w:tc>
      </w:tr>
    </w:tbl>
    <w:p w:rsidR="004660AA" w:rsidRPr="003A7AAC" w:rsidRDefault="004660AA" w:rsidP="004660AA">
      <w:pPr>
        <w:pStyle w:val="ac"/>
        <w:shd w:val="clear" w:color="auto" w:fill="auto"/>
        <w:spacing w:after="563"/>
        <w:rPr>
          <w:b w:val="0"/>
        </w:rPr>
      </w:pPr>
      <w:r w:rsidRPr="003A7AAC">
        <w:rPr>
          <w:rStyle w:val="CharStyle4"/>
        </w:rPr>
        <w:t>ПОЗНАВАТЕЛЬНАЯ АКТИВНОСТЬ ВЫПУСКНИКОВ IX, XI КЛАССОВ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6"/>
        <w:gridCol w:w="2932"/>
        <w:gridCol w:w="2941"/>
      </w:tblGrid>
      <w:tr w:rsidR="004660AA" w:rsidRPr="003A7AAC" w:rsidTr="004D46E5">
        <w:trPr>
          <w:trHeight w:hRule="exact" w:val="436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30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Познавательная активность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9 класс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11 класс</w:t>
            </w:r>
          </w:p>
        </w:tc>
      </w:tr>
      <w:tr w:rsidR="004660AA" w:rsidRPr="003A7AAC" w:rsidTr="004D46E5">
        <w:trPr>
          <w:trHeight w:hRule="exact" w:val="212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ind w:left="120"/>
              <w:jc w:val="left"/>
              <w:rPr>
                <w:rStyle w:val="CharStyle5"/>
              </w:rPr>
            </w:pPr>
            <w:r w:rsidRPr="003A7AAC">
              <w:rPr>
                <w:rStyle w:val="CharStyle5"/>
              </w:rPr>
              <w:t>Высокая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48%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36%</w:t>
            </w:r>
          </w:p>
        </w:tc>
      </w:tr>
      <w:tr w:rsidR="004660AA" w:rsidRPr="003A7AAC" w:rsidTr="004D46E5">
        <w:trPr>
          <w:trHeight w:hRule="exact" w:val="225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ind w:left="120"/>
              <w:jc w:val="left"/>
              <w:rPr>
                <w:rStyle w:val="CharStyle5"/>
              </w:rPr>
            </w:pPr>
            <w:r w:rsidRPr="003A7AAC">
              <w:rPr>
                <w:rStyle w:val="CharStyle5"/>
              </w:rPr>
              <w:t>Средняя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47%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58%</w:t>
            </w:r>
          </w:p>
        </w:tc>
      </w:tr>
      <w:tr w:rsidR="004660AA" w:rsidRPr="003A7AAC" w:rsidTr="004D46E5">
        <w:trPr>
          <w:trHeight w:hRule="exact" w:val="218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ind w:left="120"/>
              <w:jc w:val="left"/>
              <w:rPr>
                <w:rStyle w:val="CharStyle5"/>
              </w:rPr>
            </w:pPr>
            <w:r w:rsidRPr="003A7AAC">
              <w:rPr>
                <w:rStyle w:val="CharStyle5"/>
              </w:rPr>
              <w:t>Низкая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rStyle w:val="CharStyle5"/>
              </w:rPr>
            </w:pPr>
            <w:r w:rsidRPr="003A7AAC">
              <w:rPr>
                <w:rStyle w:val="CharStyle5"/>
              </w:rPr>
              <w:t>4%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660AA" w:rsidRPr="003A7AAC" w:rsidRDefault="004660AA" w:rsidP="00F03836">
            <w:pPr>
              <w:pStyle w:val="ac"/>
              <w:shd w:val="clear" w:color="auto" w:fill="auto"/>
              <w:spacing w:after="0" w:line="240" w:lineRule="exact"/>
              <w:rPr>
                <w:b w:val="0"/>
              </w:rPr>
            </w:pPr>
            <w:r w:rsidRPr="003A7AAC">
              <w:rPr>
                <w:rStyle w:val="CharStyle5"/>
              </w:rPr>
              <w:t>6%</w:t>
            </w:r>
          </w:p>
        </w:tc>
      </w:tr>
    </w:tbl>
    <w:p w:rsidR="00762377" w:rsidRPr="005A758B" w:rsidRDefault="00762377" w:rsidP="00AE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форме оценивается уровень преподавания предмета:</w:t>
      </w:r>
      <w:r w:rsidRPr="003A7AAC">
        <w:rPr>
          <w:sz w:val="24"/>
          <w:szCs w:val="24"/>
          <w:lang w:eastAsia="ru-RU"/>
        </w:rPr>
        <w:br/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t xml:space="preserve">•  </w:t>
      </w:r>
      <w:r w:rsidRPr="003A7A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оптимальный 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t>– результаты административных контрольных работ полностью совпадают с годовыми оценками;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 </w:t>
      </w:r>
      <w:r w:rsidRPr="003A7A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удовлетворительный 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t>– результаты административных контрольных работ в большинстве случаев подтверждают годовые оценки;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 </w:t>
      </w:r>
      <w:r w:rsidRPr="003A7A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критический 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t>- результаты административных контрольных работ частично подтверждают годовые оценки;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 </w:t>
      </w:r>
      <w:r w:rsidRPr="003A7A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неудовлетворительный </w:t>
      </w:r>
      <w:r w:rsidRPr="003A7AAC">
        <w:rPr>
          <w:rFonts w:ascii="Times New Roman" w:hAnsi="Times New Roman" w:cs="Times New Roman"/>
          <w:sz w:val="24"/>
          <w:szCs w:val="24"/>
          <w:lang w:eastAsia="ru-RU"/>
        </w:rPr>
        <w:t>- результаты административных контрольных работ не подтверждают годовые оценки.</w:t>
      </w:r>
    </w:p>
    <w:p w:rsidR="00762377" w:rsidRPr="003A7AAC" w:rsidRDefault="00762377" w:rsidP="00466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A7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Заключение </w:t>
      </w:r>
    </w:p>
    <w:p w:rsidR="00762377" w:rsidRPr="003A7AAC" w:rsidRDefault="004660AA" w:rsidP="00466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4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мониторинга эффективность</w:t>
      </w:r>
      <w:r w:rsidR="0051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 улучшилась. 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стремится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индивидуально-дифференцированный подход в управлении успеваемостью и качеством обучения наших учеников. Реальность запланированных мониторинговых результатов подтверждается снижением количества неуспевающих по школ</w:t>
      </w:r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повышением качества знаний учащихся</w:t>
      </w:r>
      <w:proofErr w:type="gramStart"/>
      <w:r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2377" w:rsidRPr="003A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62377" w:rsidRPr="00762377" w:rsidRDefault="00762377" w:rsidP="0076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37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sectPr w:rsidR="00762377" w:rsidRPr="00762377" w:rsidSect="004D46E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8BE"/>
    <w:multiLevelType w:val="hybridMultilevel"/>
    <w:tmpl w:val="B51A5B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05493"/>
    <w:multiLevelType w:val="hybridMultilevel"/>
    <w:tmpl w:val="B94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DE0"/>
    <w:multiLevelType w:val="hybridMultilevel"/>
    <w:tmpl w:val="49C802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54087B"/>
    <w:multiLevelType w:val="hybridMultilevel"/>
    <w:tmpl w:val="12A0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2124"/>
    <w:multiLevelType w:val="hybridMultilevel"/>
    <w:tmpl w:val="5238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22A0"/>
    <w:multiLevelType w:val="hybridMultilevel"/>
    <w:tmpl w:val="32AC74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C0044E"/>
    <w:multiLevelType w:val="hybridMultilevel"/>
    <w:tmpl w:val="04FED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FFA635F"/>
    <w:multiLevelType w:val="hybridMultilevel"/>
    <w:tmpl w:val="F45C2FD6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5052103B"/>
    <w:multiLevelType w:val="hybridMultilevel"/>
    <w:tmpl w:val="B15CBE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ED1699"/>
    <w:multiLevelType w:val="hybridMultilevel"/>
    <w:tmpl w:val="2E3C25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13151E7"/>
    <w:multiLevelType w:val="hybridMultilevel"/>
    <w:tmpl w:val="C0B0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511BF"/>
    <w:multiLevelType w:val="hybridMultilevel"/>
    <w:tmpl w:val="E146DC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290A15"/>
    <w:multiLevelType w:val="hybridMultilevel"/>
    <w:tmpl w:val="05888E72"/>
    <w:lvl w:ilvl="0" w:tplc="24E6E5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82B26"/>
    <w:multiLevelType w:val="hybridMultilevel"/>
    <w:tmpl w:val="FE84B11E"/>
    <w:lvl w:ilvl="0" w:tplc="5AB437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45E0AA2"/>
    <w:multiLevelType w:val="hybridMultilevel"/>
    <w:tmpl w:val="5720F7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DFE585D"/>
    <w:multiLevelType w:val="hybridMultilevel"/>
    <w:tmpl w:val="E6B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77"/>
    <w:rsid w:val="000A1CB4"/>
    <w:rsid w:val="000A73E1"/>
    <w:rsid w:val="000F113C"/>
    <w:rsid w:val="00193907"/>
    <w:rsid w:val="001C66F1"/>
    <w:rsid w:val="001D3DA1"/>
    <w:rsid w:val="00200230"/>
    <w:rsid w:val="003A1F7A"/>
    <w:rsid w:val="003A7AAC"/>
    <w:rsid w:val="004660AA"/>
    <w:rsid w:val="004D46E5"/>
    <w:rsid w:val="0051679D"/>
    <w:rsid w:val="005937A2"/>
    <w:rsid w:val="005A758B"/>
    <w:rsid w:val="005B4D95"/>
    <w:rsid w:val="005C15D3"/>
    <w:rsid w:val="00762377"/>
    <w:rsid w:val="008C0CE3"/>
    <w:rsid w:val="00915AD4"/>
    <w:rsid w:val="009347DD"/>
    <w:rsid w:val="009D70C2"/>
    <w:rsid w:val="00A10036"/>
    <w:rsid w:val="00A11E52"/>
    <w:rsid w:val="00A45371"/>
    <w:rsid w:val="00AC5746"/>
    <w:rsid w:val="00AE2B75"/>
    <w:rsid w:val="00AE48C5"/>
    <w:rsid w:val="00C412F9"/>
    <w:rsid w:val="00C7226C"/>
    <w:rsid w:val="00D366A3"/>
    <w:rsid w:val="00D44C21"/>
    <w:rsid w:val="00D65AAD"/>
    <w:rsid w:val="00EB6E16"/>
    <w:rsid w:val="00EF0379"/>
    <w:rsid w:val="00F11A1D"/>
    <w:rsid w:val="00F34CC5"/>
    <w:rsid w:val="00F7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6"/>
  </w:style>
  <w:style w:type="paragraph" w:styleId="3">
    <w:name w:val="heading 3"/>
    <w:basedOn w:val="a"/>
    <w:link w:val="30"/>
    <w:uiPriority w:val="9"/>
    <w:qFormat/>
    <w:rsid w:val="00762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2377"/>
    <w:rPr>
      <w:rFonts w:ascii="Verdana" w:hAnsi="Verdana" w:hint="default"/>
      <w:color w:val="000000"/>
      <w:sz w:val="17"/>
      <w:szCs w:val="17"/>
      <w:u w:val="single"/>
    </w:rPr>
  </w:style>
  <w:style w:type="paragraph" w:styleId="a4">
    <w:name w:val="Normal (Web)"/>
    <w:basedOn w:val="a"/>
    <w:uiPriority w:val="99"/>
    <w:unhideWhenUsed/>
    <w:rsid w:val="007623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style3">
    <w:name w:val="style3"/>
    <w:basedOn w:val="a"/>
    <w:rsid w:val="007623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762377"/>
    <w:rPr>
      <w:b/>
      <w:bCs/>
    </w:rPr>
  </w:style>
  <w:style w:type="character" w:styleId="a6">
    <w:name w:val="Emphasis"/>
    <w:basedOn w:val="a0"/>
    <w:uiPriority w:val="20"/>
    <w:qFormat/>
    <w:rsid w:val="00762377"/>
    <w:rPr>
      <w:i/>
      <w:iCs/>
    </w:rPr>
  </w:style>
  <w:style w:type="character" w:customStyle="1" w:styleId="s41">
    <w:name w:val="s41"/>
    <w:basedOn w:val="a0"/>
    <w:rsid w:val="00762377"/>
    <w:rPr>
      <w:strike w:val="0"/>
      <w:dstrike w:val="0"/>
      <w:sz w:val="17"/>
      <w:szCs w:val="1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3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4C2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37A2"/>
    <w:pPr>
      <w:ind w:left="720"/>
      <w:contextualSpacing/>
    </w:pPr>
  </w:style>
  <w:style w:type="paragraph" w:styleId="ab">
    <w:name w:val="caption"/>
    <w:basedOn w:val="a"/>
    <w:next w:val="a"/>
    <w:qFormat/>
    <w:rsid w:val="001939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harStyle18">
    <w:name w:val="CharStyle18"/>
    <w:basedOn w:val="a0"/>
    <w:rsid w:val="009347D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9">
    <w:name w:val="CharStyle19"/>
    <w:basedOn w:val="a0"/>
    <w:rsid w:val="009347D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a0"/>
    <w:rsid w:val="009347D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9347DD"/>
    <w:pPr>
      <w:widowControl w:val="0"/>
      <w:shd w:val="clear" w:color="auto" w:fill="FFFFFF"/>
      <w:suppressAutoHyphens/>
      <w:spacing w:after="0" w:line="725" w:lineRule="exact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 w:bidi="ru-RU"/>
    </w:rPr>
  </w:style>
  <w:style w:type="character" w:customStyle="1" w:styleId="CharStyle5">
    <w:name w:val="CharStyle5"/>
    <w:basedOn w:val="a0"/>
    <w:rsid w:val="004660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c">
    <w:name w:val="Body Text"/>
    <w:link w:val="ad"/>
    <w:rsid w:val="004660AA"/>
    <w:pPr>
      <w:widowControl w:val="0"/>
      <w:shd w:val="clear" w:color="auto" w:fill="FFFFFF"/>
      <w:suppressAutoHyphens/>
      <w:spacing w:after="660" w:line="485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0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rsid w:val="004660AA"/>
    <w:rPr>
      <w:rFonts w:ascii="Times New Roman" w:eastAsia="Times New Roman" w:hAnsi="Times New Roman" w:cs="Times New Roman"/>
      <w:b/>
      <w:bCs/>
      <w:color w:val="000000"/>
      <w:spacing w:val="10"/>
      <w:sz w:val="24"/>
      <w:szCs w:val="24"/>
      <w:shd w:val="clear" w:color="auto" w:fill="FFFFFF"/>
      <w:lang w:eastAsia="ru-RU" w:bidi="ru-RU"/>
    </w:rPr>
  </w:style>
  <w:style w:type="character" w:customStyle="1" w:styleId="CharStyle4">
    <w:name w:val="CharStyle4"/>
    <w:basedOn w:val="a0"/>
    <w:rsid w:val="004660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784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33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59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59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hape val="cylinder"/>
        <c:axId val="37345536"/>
        <c:axId val="37498880"/>
        <c:axId val="0"/>
      </c:bar3DChart>
      <c:catAx>
        <c:axId val="37345536"/>
        <c:scaling>
          <c:orientation val="minMax"/>
        </c:scaling>
        <c:axPos val="b"/>
        <c:numFmt formatCode="General" sourceLinked="1"/>
        <c:tickLblPos val="nextTo"/>
        <c:crossAx val="37498880"/>
        <c:crosses val="autoZero"/>
        <c:auto val="1"/>
        <c:lblAlgn val="ctr"/>
        <c:lblOffset val="100"/>
      </c:catAx>
      <c:valAx>
        <c:axId val="37498880"/>
        <c:scaling>
          <c:orientation val="minMax"/>
        </c:scaling>
        <c:axPos val="l"/>
        <c:majorGridlines/>
        <c:numFmt formatCode="General" sourceLinked="1"/>
        <c:tickLblPos val="nextTo"/>
        <c:crossAx val="37345536"/>
        <c:crosses val="autoZero"/>
        <c:crossBetween val="between"/>
      </c:valAx>
    </c:plotArea>
    <c:legend>
      <c:legendPos val="r"/>
    </c:legend>
    <c:plotVisOnly val="1"/>
    <c:dispBlanksAs val="gap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Болотов</a:t>
            </a:r>
            <a:r>
              <a:rPr lang="ru-RU" sz="1200" baseline="0"/>
              <a:t> Коля</a:t>
            </a:r>
            <a:endParaRPr lang="ru-RU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Абушов  Влад</c:v>
                </c:pt>
              </c:strCache>
            </c:strRef>
          </c:tx>
          <c:dLbls>
            <c:dLbl>
              <c:idx val="4"/>
              <c:layout>
                <c:manualLayout>
                  <c:x val="-4.585333083364633E-2"/>
                  <c:y val="-0.12803575228772079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600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Входная</c:v>
                </c:pt>
                <c:pt idx="1">
                  <c:v>1 чеверть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  <c:pt idx="5">
                  <c:v>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marker val="1"/>
        <c:axId val="37313920"/>
        <c:axId val="37520512"/>
      </c:lineChart>
      <c:catAx>
        <c:axId val="37313920"/>
        <c:scaling>
          <c:orientation val="minMax"/>
        </c:scaling>
        <c:axPos val="b"/>
        <c:tickLblPos val="nextTo"/>
        <c:crossAx val="37520512"/>
        <c:crosses val="autoZero"/>
        <c:auto val="1"/>
        <c:lblAlgn val="ctr"/>
        <c:lblOffset val="100"/>
      </c:catAx>
      <c:valAx>
        <c:axId val="37520512"/>
        <c:scaling>
          <c:orientation val="minMax"/>
        </c:scaling>
        <c:axPos val="l"/>
        <c:majorGridlines/>
        <c:numFmt formatCode="General" sourceLinked="1"/>
        <c:tickLblPos val="nextTo"/>
        <c:crossAx val="373139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948790735921959"/>
          <c:y val="7.0491957736052283E-2"/>
          <c:w val="0.84188494295355965"/>
          <c:h val="0.5703727034120736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  <c:pt idx="5">
                  <c:v>годовая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  <c:pt idx="5">
                  <c:v>годовая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39</c:v>
                </c:pt>
                <c:pt idx="2">
                  <c:v>44</c:v>
                </c:pt>
                <c:pt idx="3">
                  <c:v>38</c:v>
                </c:pt>
                <c:pt idx="4">
                  <c:v>35</c:v>
                </c:pt>
                <c:pt idx="5">
                  <c:v>38</c:v>
                </c:pt>
              </c:numCache>
            </c:numRef>
          </c:val>
        </c:ser>
        <c:marker val="1"/>
        <c:axId val="45420544"/>
        <c:axId val="45422080"/>
      </c:lineChart>
      <c:catAx>
        <c:axId val="45420544"/>
        <c:scaling>
          <c:orientation val="minMax"/>
        </c:scaling>
        <c:axPos val="b"/>
        <c:majorTickMark val="none"/>
        <c:tickLblPos val="nextTo"/>
        <c:crossAx val="45422080"/>
        <c:crosses val="autoZero"/>
        <c:auto val="1"/>
        <c:lblAlgn val="ctr"/>
        <c:lblOffset val="100"/>
      </c:catAx>
      <c:valAx>
        <c:axId val="45422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5420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903403806807664"/>
          <c:y val="0.84135454717644831"/>
          <c:w val="0.58292902363582688"/>
          <c:h val="0.12428119165516682"/>
        </c:manualLayout>
      </c:layout>
    </c:legend>
    <c:plotVisOnly val="1"/>
    <c:dispBlanksAs val="gap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960F-A254-45F0-92EA-50E21AC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17</cp:revision>
  <dcterms:created xsi:type="dcterms:W3CDTF">2013-03-01T15:24:00Z</dcterms:created>
  <dcterms:modified xsi:type="dcterms:W3CDTF">2013-06-28T18:29:00Z</dcterms:modified>
</cp:coreProperties>
</file>