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1F" w:rsidRPr="00CD281F" w:rsidRDefault="00391D01" w:rsidP="00CD281F">
      <w:pPr>
        <w:spacing w:after="0" w:line="276" w:lineRule="auto"/>
        <w:ind w:left="0"/>
        <w:jc w:val="center"/>
        <w:outlineLvl w:val="0"/>
        <w:rPr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Cs/>
          <w:noProof/>
          <w:color w:val="auto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-291465</wp:posOffset>
            </wp:positionV>
            <wp:extent cx="1066800" cy="1066800"/>
            <wp:effectExtent l="19050" t="0" r="0" b="0"/>
            <wp:wrapNone/>
            <wp:docPr id="2" name="Рисунок 2" descr="Описание: C:\Documents and Settings\Библиотека\Рабочий стол\сваткова\картинки\наташа\iр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Библиотека\Рабочий стол\сваткова\картинки\наташа\iр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642C7"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рограмма</w:t>
      </w:r>
      <w:proofErr w:type="spellEnd"/>
      <w:r w:rsidR="00CD281F" w:rsidRPr="00CD281F">
        <w:rPr>
          <w:rFonts w:ascii="Arial" w:eastAsia="+mj-ea" w:hAnsi="Arial" w:cs="+mj-cs"/>
          <w:bCs/>
          <w:color w:val="000066"/>
          <w:kern w:val="24"/>
          <w:szCs w:val="28"/>
        </w:rPr>
        <w:t xml:space="preserve"> </w:t>
      </w:r>
      <w:r w:rsidR="00CD281F" w:rsidRPr="00CD281F">
        <w:rPr>
          <w:rFonts w:ascii="Arial" w:eastAsia="+mj-ea" w:hAnsi="Arial" w:cs="+mj-cs"/>
          <w:bCs/>
          <w:color w:val="000066"/>
          <w:kern w:val="24"/>
          <w:sz w:val="24"/>
          <w:szCs w:val="24"/>
        </w:rPr>
        <w:t>Краевое государственное бюджетное  образовательное учреждение</w:t>
      </w:r>
      <w:r w:rsidR="00CD281F" w:rsidRPr="00CD281F">
        <w:rPr>
          <w:rFonts w:ascii="Arial" w:eastAsia="+mj-ea" w:hAnsi="Arial" w:cs="+mj-cs"/>
          <w:bCs/>
          <w:color w:val="000066"/>
          <w:kern w:val="24"/>
          <w:sz w:val="24"/>
          <w:szCs w:val="24"/>
        </w:rPr>
        <w:br/>
        <w:t>начального профессионального образования</w:t>
      </w:r>
      <w:r w:rsidR="00CD281F" w:rsidRPr="00CD281F">
        <w:rPr>
          <w:rFonts w:ascii="Arial" w:eastAsia="+mj-ea" w:hAnsi="Arial" w:cs="+mj-cs"/>
          <w:bCs/>
          <w:color w:val="000066"/>
          <w:kern w:val="24"/>
          <w:sz w:val="24"/>
          <w:szCs w:val="24"/>
        </w:rPr>
        <w:br/>
        <w:t xml:space="preserve"> «Профессиональное училище № 2 (Речников)»</w:t>
      </w:r>
    </w:p>
    <w:p w:rsidR="00CD281F" w:rsidRDefault="00CD281F" w:rsidP="00CD281F">
      <w:pPr>
        <w:spacing w:after="0" w:line="276" w:lineRule="auto"/>
        <w:ind w:left="0"/>
        <w:jc w:val="center"/>
        <w:outlineLvl w:val="0"/>
        <w:rPr>
          <w:color w:val="auto"/>
          <w:szCs w:val="28"/>
          <w:lang w:eastAsia="ru-RU"/>
        </w:rPr>
      </w:pPr>
    </w:p>
    <w:p w:rsidR="00CD281F" w:rsidRPr="00CD281F" w:rsidRDefault="00CD281F" w:rsidP="00CD281F">
      <w:pPr>
        <w:spacing w:after="0" w:line="276" w:lineRule="auto"/>
        <w:ind w:left="0"/>
        <w:jc w:val="center"/>
        <w:outlineLvl w:val="0"/>
        <w:rPr>
          <w:b/>
          <w:color w:val="auto"/>
          <w:sz w:val="24"/>
          <w:szCs w:val="24"/>
          <w:lang w:eastAsia="ru-RU"/>
        </w:rPr>
      </w:pPr>
      <w:r w:rsidRPr="00CD281F">
        <w:rPr>
          <w:b/>
          <w:color w:val="auto"/>
          <w:sz w:val="24"/>
          <w:szCs w:val="24"/>
          <w:lang w:eastAsia="ru-RU"/>
        </w:rPr>
        <w:t>Программа кружка</w:t>
      </w:r>
    </w:p>
    <w:p w:rsidR="00CC5E77" w:rsidRPr="00CD281F" w:rsidRDefault="00CC5E77" w:rsidP="008642C7">
      <w:pPr>
        <w:spacing w:after="0" w:line="276" w:lineRule="auto"/>
        <w:ind w:left="0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CD281F">
        <w:rPr>
          <w:rFonts w:eastAsia="Times New Roman" w:cs="Times New Roman"/>
          <w:b/>
          <w:color w:val="auto"/>
          <w:sz w:val="24"/>
          <w:szCs w:val="24"/>
          <w:lang w:eastAsia="ru-RU"/>
        </w:rPr>
        <w:t>Кружок «</w:t>
      </w:r>
      <w:proofErr w:type="spellStart"/>
      <w:r w:rsidRPr="00CD281F">
        <w:rPr>
          <w:rFonts w:eastAsia="Times New Roman" w:cs="Times New Roman"/>
          <w:b/>
          <w:color w:val="auto"/>
          <w:sz w:val="24"/>
          <w:szCs w:val="24"/>
          <w:lang w:eastAsia="ru-RU"/>
        </w:rPr>
        <w:t>Фэнтази</w:t>
      </w:r>
      <w:proofErr w:type="spellEnd"/>
      <w:r w:rsidRPr="00CD281F">
        <w:rPr>
          <w:rFonts w:eastAsia="Times New Roman" w:cs="Times New Roman"/>
          <w:b/>
          <w:color w:val="auto"/>
          <w:sz w:val="24"/>
          <w:szCs w:val="24"/>
          <w:lang w:eastAsia="ru-RU"/>
        </w:rPr>
        <w:t>»</w:t>
      </w:r>
    </w:p>
    <w:p w:rsidR="00726B83" w:rsidRPr="00140704" w:rsidRDefault="00726B83" w:rsidP="008642C7">
      <w:pPr>
        <w:spacing w:after="0" w:line="276" w:lineRule="auto"/>
        <w:ind w:left="0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8642C7" w:rsidRPr="00140704" w:rsidRDefault="008642C7" w:rsidP="008642C7">
      <w:pPr>
        <w:spacing w:after="0" w:line="276" w:lineRule="auto"/>
        <w:ind w:left="0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Пояснительная записка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Рабочая программа кружка декоративно – прикладного творчества разработана для организации внеурочной деятельности </w:t>
      </w:r>
      <w:proofErr w:type="gram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общежития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Данная программа предусматривает:</w:t>
      </w:r>
    </w:p>
    <w:p w:rsidR="00726B83" w:rsidRPr="00140704" w:rsidRDefault="00726B83" w:rsidP="008642C7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углубленное ознакомление с теоретическими и практическими знаниями по декоративной работе и орнаментам,</w:t>
      </w:r>
    </w:p>
    <w:p w:rsidR="00726B83" w:rsidRPr="00140704" w:rsidRDefault="00726B83" w:rsidP="008642C7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графические и живописные упражнения,</w:t>
      </w:r>
    </w:p>
    <w:p w:rsidR="00726B83" w:rsidRPr="00140704" w:rsidRDefault="00726B83" w:rsidP="008642C7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выполнение художественных работ, </w:t>
      </w:r>
    </w:p>
    <w:p w:rsidR="00726B83" w:rsidRPr="00140704" w:rsidRDefault="00726B83" w:rsidP="008642C7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украшение интерьера общежития декоративными элементами.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Искусство декоративного оформления является одним из самых массовых видов художественного творчества.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Эстетическое и эмоционально – выразительное начало является важной особенностью декоративно – прикладной работы.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Эта работа формирует художественный вкус, творческую инициативу, развивает чувство </w:t>
      </w:r>
      <w:proofErr w:type="gram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прекрасного</w:t>
      </w:r>
      <w:proofErr w:type="gram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Методика проведения кружковой работы строится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 тематическом разнообразии, заинтересованном воплощении каждой темы.</w:t>
      </w:r>
    </w:p>
    <w:p w:rsidR="00726B83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</w:t>
      </w:r>
      <w:r w:rsidR="00726B83"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рограмма предусматривает</w:t>
      </w:r>
      <w:r w:rsidR="00726B83"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ознакомление с теоретическими знаниями по декоративной работе, практические упражнения и выполнение художественных работ, украшение интерьера. На занятиях кружка совершенствуют навыки и умения, через выполнение конкретных изделий или композиций.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Работы выполняются под руководством воспитателя и по собственному замыслу обучающегося. Предусматриваются коллективные, групповые и индивидуальные творческие работы. Работа, выполненная своими руками - огромная радость и для педагога, обучающегося, его родителей. Это помогает поддерживать эмоциональный настрой в коллективе общежития, интерес к занятиям.</w:t>
      </w:r>
    </w:p>
    <w:p w:rsidR="00726B83" w:rsidRPr="00140704" w:rsidRDefault="00726B83" w:rsidP="008642C7">
      <w:pPr>
        <w:spacing w:after="0" w:line="276" w:lineRule="auto"/>
        <w:ind w:left="0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Приёмы и методы организации занятий кружка</w:t>
      </w:r>
      <w:r w:rsidR="00CC5E77"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«</w:t>
      </w:r>
      <w:proofErr w:type="spellStart"/>
      <w:r w:rsidR="00CC5E77"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Фэнтази</w:t>
      </w:r>
      <w:proofErr w:type="spellEnd"/>
      <w:r w:rsidR="00CC5E77"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»</w:t>
      </w: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.</w:t>
      </w:r>
    </w:p>
    <w:p w:rsidR="00726B83" w:rsidRPr="00140704" w:rsidRDefault="00726B83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Игра, труд, учение, общение, творчество.</w:t>
      </w:r>
    </w:p>
    <w:p w:rsidR="00726B83" w:rsidRPr="00140704" w:rsidRDefault="00726B83" w:rsidP="008642C7">
      <w:pPr>
        <w:spacing w:after="0" w:line="276" w:lineRule="auto"/>
        <w:ind w:left="0"/>
        <w:jc w:val="both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  <w:t>При этом соблюдаются следующие правила:</w:t>
      </w:r>
    </w:p>
    <w:p w:rsidR="00726B83" w:rsidRPr="00140704" w:rsidRDefault="00726B83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виды деятельности должны быть разнообразными, социально значимыми, направлены на реализацию личных интересов членов кружка;</w:t>
      </w:r>
    </w:p>
    <w:p w:rsidR="00726B83" w:rsidRPr="00140704" w:rsidRDefault="00726B83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деятельность должна соответствовать возможностям отдельных личностей, рассчитана на выдвижение на роли лидеров, чьё влияние благотворно;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необходимо учитывать основные черты коллективной деятельности: разделение труда, кооперацию детей, сотрудничество детей и педагога.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При определении содержания деятельности учитываются следующие принципы: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воспитывающего характера труда;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научности (соблюдение терминологии, символики и др.)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 xml:space="preserve">связь теории с практикой 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систематичности и последовательности;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учёт возрастных и индивидуальных особенностей личности;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доступности и посильности;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сознательности и активности;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наглядности;</w:t>
      </w:r>
    </w:p>
    <w:p w:rsidR="00CC5E77" w:rsidRPr="00140704" w:rsidRDefault="00CC5E77" w:rsidP="008642C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прочности овладения знаниями и умениями (достигается реализацией всех вышеперечисленных принципов).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В процессе обучения в кружке формируются три основные группы практических умений и навыков:</w:t>
      </w:r>
    </w:p>
    <w:p w:rsidR="00CC5E77" w:rsidRPr="00140704" w:rsidRDefault="00CC5E77" w:rsidP="008642C7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политехнические: измерительные, вычислительные, графические, технологические;</w:t>
      </w:r>
    </w:p>
    <w:p w:rsidR="00CC5E77" w:rsidRPr="00140704" w:rsidRDefault="00CC5E77" w:rsidP="008642C7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spell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общетрудовые</w:t>
      </w:r>
      <w:proofErr w:type="spell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: организаторские, конструкторские;</w:t>
      </w:r>
    </w:p>
    <w:p w:rsidR="00CC5E77" w:rsidRPr="00140704" w:rsidRDefault="00CC5E77" w:rsidP="008642C7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специальны</w:t>
      </w: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е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: обработка бумаги, картона и других материалов; овладение различными техниками работы.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Формы организации учебной деятельности</w:t>
      </w:r>
      <w:proofErr w:type="gram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:г</w:t>
      </w:r>
      <w:proofErr w:type="gram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рупповая, конкурс, выставка, экскурсия, творческая мастерская.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Основной вид занятий– </w:t>
      </w:r>
      <w:proofErr w:type="gram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</w:t>
      </w:r>
      <w:proofErr w:type="gram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актический.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Используются следующие методы обучения: объяснительно-иллюстративный, репродуктивный, проблемный, частично поисковый или эвристический, исследовательский.</w:t>
      </w:r>
    </w:p>
    <w:p w:rsidR="00CC5E77" w:rsidRPr="00140704" w:rsidRDefault="00CC5E77" w:rsidP="008642C7">
      <w:pPr>
        <w:spacing w:after="0" w:line="276" w:lineRule="auto"/>
        <w:ind w:left="0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Педагогические приёмы:</w:t>
      </w:r>
    </w:p>
    <w:p w:rsidR="00CC5E77" w:rsidRPr="00140704" w:rsidRDefault="00CC5E77" w:rsidP="008642C7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формирования взглядов (убеждение, пример, разъяснение, дискуссия);</w:t>
      </w:r>
    </w:p>
    <w:p w:rsidR="00CC5E77" w:rsidRPr="00140704" w:rsidRDefault="00CC5E77" w:rsidP="008642C7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организации деятельности (приучение, упражнение, показ, подражание, требование);</w:t>
      </w:r>
    </w:p>
    <w:p w:rsidR="00CC5E77" w:rsidRPr="00140704" w:rsidRDefault="00CC5E77" w:rsidP="008642C7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gram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стимулирования и коррекции (поощрение, похвала, соревнование, оценка, </w:t>
      </w:r>
      <w:proofErr w:type="spell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взаимооценка</w:t>
      </w:r>
      <w:proofErr w:type="spell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т.д.);</w:t>
      </w:r>
      <w:proofErr w:type="gramEnd"/>
    </w:p>
    <w:p w:rsidR="00CC5E77" w:rsidRPr="00140704" w:rsidRDefault="00CC5E77" w:rsidP="008642C7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сотрудничества, позволяющие педагогу и воспитаннику быть партнёрами в увлекательном процессе образования;</w:t>
      </w:r>
    </w:p>
    <w:p w:rsidR="00CC5E77" w:rsidRPr="00140704" w:rsidRDefault="00CC5E77" w:rsidP="008642C7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свободного выбора.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В результате реализации 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рабочей программы кружка декоративно – прикладного творчества «</w:t>
      </w:r>
      <w:proofErr w:type="spellStart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Фэнтази</w:t>
      </w:r>
      <w:proofErr w:type="spellEnd"/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разработанной для организации внеурочной деятельности обучающиеся </w:t>
      </w:r>
      <w:r w:rsidRPr="00140704">
        <w:rPr>
          <w:rFonts w:eastAsia="Times New Roman" w:cs="Times New Roman"/>
          <w:i/>
          <w:color w:val="auto"/>
          <w:sz w:val="24"/>
          <w:szCs w:val="24"/>
          <w:lang w:eastAsia="ru-RU"/>
        </w:rPr>
        <w:t>получат возможность более глубокого и расширенного знакомства:</w:t>
      </w:r>
    </w:p>
    <w:p w:rsidR="00CC5E77" w:rsidRPr="00140704" w:rsidRDefault="00CC5E77" w:rsidP="008642C7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 приёмами оригами, модульным оригами</w:t>
      </w:r>
      <w:r w:rsidR="008642C7" w:rsidRPr="00140704">
        <w:rPr>
          <w:rFonts w:eastAsia="Times New Roman" w:cs="Times New Roman"/>
          <w:color w:val="auto"/>
          <w:sz w:val="24"/>
          <w:szCs w:val="24"/>
          <w:lang w:eastAsia="ru-RU"/>
        </w:rPr>
        <w:t>;</w:t>
      </w:r>
    </w:p>
    <w:p w:rsidR="00CC5E77" w:rsidRPr="00140704" w:rsidRDefault="00CC5E77" w:rsidP="008642C7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 декоративно – символической ролью цвета;</w:t>
      </w:r>
    </w:p>
    <w:p w:rsidR="00CC5E77" w:rsidRPr="00140704" w:rsidRDefault="00CC5E77" w:rsidP="008642C7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 пропорциями: соотношение целого и частей;</w:t>
      </w:r>
    </w:p>
    <w:p w:rsidR="00CC5E77" w:rsidRPr="00140704" w:rsidRDefault="00CC5E77" w:rsidP="008642C7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с произведениями декоративно – прикладного искусства.</w:t>
      </w:r>
    </w:p>
    <w:p w:rsidR="008642C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Формы подведения итогов реализации данной программы: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выставки, конкурсы, творческие фотоотчёты и презентация.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color w:val="auto"/>
          <w:sz w:val="24"/>
          <w:szCs w:val="24"/>
          <w:lang w:eastAsia="ru-RU"/>
        </w:rPr>
        <w:t>Программа актуальна,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поск</w:t>
      </w:r>
      <w:r w:rsidR="008642C7" w:rsidRPr="00140704">
        <w:rPr>
          <w:rFonts w:eastAsia="Times New Roman" w:cs="Times New Roman"/>
          <w:color w:val="auto"/>
          <w:sz w:val="24"/>
          <w:szCs w:val="24"/>
          <w:lang w:eastAsia="ru-RU"/>
        </w:rPr>
        <w:t>ольку предполагает формирование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:rsidR="00CC5E77" w:rsidRPr="00140704" w:rsidRDefault="00CC5E77" w:rsidP="008642C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ценностных эстетических ориентиров,</w:t>
      </w:r>
    </w:p>
    <w:p w:rsidR="00CC5E77" w:rsidRPr="00140704" w:rsidRDefault="00CC5E77" w:rsidP="008642C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художественно-эстетической оценки и овладение основами творческой деятельности,</w:t>
      </w:r>
    </w:p>
    <w:p w:rsidR="00CC5E77" w:rsidRPr="00140704" w:rsidRDefault="00CC5E77" w:rsidP="008642C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даёт возможность каждому реально открыть для себя мир декоративно - прикладного искусства,</w:t>
      </w:r>
    </w:p>
    <w:p w:rsidR="00CC5E77" w:rsidRPr="00140704" w:rsidRDefault="00CC5E77" w:rsidP="008642C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проявить и реализовать свои творческие способности,</w:t>
      </w:r>
    </w:p>
    <w:p w:rsidR="008642C7" w:rsidRPr="00140704" w:rsidRDefault="00CC5E77" w:rsidP="008642C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использовать полученные знания в  индивидуальных творческих работах 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Программа рассчитана на 1 год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Занятия кружка проводятся </w:t>
      </w:r>
      <w:r w:rsidR="008642C7" w:rsidRPr="00140704">
        <w:rPr>
          <w:rFonts w:eastAsia="Times New Roman" w:cs="Times New Roman"/>
          <w:color w:val="auto"/>
          <w:sz w:val="24"/>
          <w:szCs w:val="24"/>
          <w:lang w:eastAsia="ru-RU"/>
        </w:rPr>
        <w:t>3</w:t>
      </w: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 раза в неделю под руководством педагога.</w:t>
      </w:r>
    </w:p>
    <w:p w:rsidR="00845B7A" w:rsidRPr="00140704" w:rsidRDefault="00845B7A" w:rsidP="00845B7A">
      <w:pPr>
        <w:spacing w:after="0" w:line="276" w:lineRule="auto"/>
        <w:ind w:left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Основные составляющие занятий:</w:t>
      </w:r>
    </w:p>
    <w:p w:rsidR="00845B7A" w:rsidRPr="00140704" w:rsidRDefault="00845B7A" w:rsidP="00845B7A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1) воспитательный момент (правила хорошего тона, этикет),</w:t>
      </w:r>
    </w:p>
    <w:p w:rsidR="00845B7A" w:rsidRPr="00140704" w:rsidRDefault="00845B7A" w:rsidP="00845B7A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2) организация рабочего места,</w:t>
      </w:r>
    </w:p>
    <w:p w:rsidR="00845B7A" w:rsidRPr="00140704" w:rsidRDefault="00845B7A" w:rsidP="00845B7A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3) повторение пройденного материала,</w:t>
      </w:r>
    </w:p>
    <w:p w:rsidR="00845B7A" w:rsidRPr="00140704" w:rsidRDefault="00845B7A" w:rsidP="00845B7A">
      <w:pPr>
        <w:spacing w:after="0" w:line="276" w:lineRule="auto"/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4) организация и проведение занятия (включает следующие структурные элементы:</w:t>
      </w:r>
    </w:p>
    <w:p w:rsidR="00845B7A" w:rsidRPr="00140704" w:rsidRDefault="00845B7A" w:rsidP="00845B7A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845B7A" w:rsidRPr="00140704" w:rsidRDefault="00845B7A" w:rsidP="00845B7A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практическая работа,</w:t>
      </w:r>
    </w:p>
    <w:p w:rsidR="00845B7A" w:rsidRPr="00140704" w:rsidRDefault="00845B7A" w:rsidP="00845B7A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физкультминутки,</w:t>
      </w:r>
    </w:p>
    <w:p w:rsidR="00845B7A" w:rsidRPr="00140704" w:rsidRDefault="00845B7A" w:rsidP="00845B7A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подведение итогов, анализ, оценка работ.</w:t>
      </w:r>
    </w:p>
    <w:p w:rsidR="00845B7A" w:rsidRPr="00140704" w:rsidRDefault="00845B7A" w:rsidP="00845B7A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приведение в порядок рабочего места.</w:t>
      </w:r>
    </w:p>
    <w:p w:rsidR="00845B7A" w:rsidRPr="00140704" w:rsidRDefault="00845B7A" w:rsidP="00845B7A">
      <w:pPr>
        <w:ind w:left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auto"/>
          <w:sz w:val="24"/>
          <w:szCs w:val="24"/>
          <w:lang w:eastAsia="ru-RU"/>
        </w:rPr>
        <w:t>Перечисленные элементы не обязательно использовать на каждом занятии. Дополнительное образование позволяет педагогу быть более свободным в выборе средств обучения, импровизируя по своему усмотрению. Главное, чтобы труд становился источником радости, доставлял им удовольствие и моральное удовлетворение.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2C1CFE" w:rsidRPr="0014070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программы – Формирование художественно-творческих способностей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Познакомить с основным приемом складывания базовой детали–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дульного треугольника;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читать технологическую карту;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Расширять Словарный запас и кругозор посредством тематических бесед;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читать схемы;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ориентироваться в проблемных ситуациях.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Развивать аналитические способности, память, внимание, волю, глазомер, пространственное воображение мелкую моторику рук, соразмерность движения рук, </w:t>
      </w:r>
      <w:proofErr w:type="spell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сенсомоторику</w:t>
      </w:r>
      <w:proofErr w:type="spell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образное и логическое мышление, художественный вкус.</w:t>
      </w:r>
    </w:p>
    <w:p w:rsidR="000D494F" w:rsidRPr="00140704" w:rsidRDefault="000D494F" w:rsidP="000D4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трудолюбие, терпение, аккуратность, усидчивость, целенаправленность, критичность, эстетический вкус, чувство удовлетворения от совместной работы, чувство взаимопомощи и коллективизма, самостоятельность в работе, волевые качества.</w:t>
      </w:r>
      <w:proofErr w:type="gramEnd"/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записка.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быть мыслящими, инициативными, самостоятельными, вырабатывать свои новые оригинальные решения;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быть ориентированными на 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созидательные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конечные результаты.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Характеризуя актуальность темы, видим, что особое значен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ие приобретает проблема творческого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я, что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выступает своеобразной гарантией социализации личности в обществе.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свое отражение особенности восприятия человеком окружающего мира: природы, общественной жизни, а также особенности развития воображения. В конструировании проявляются многие психические процессы, но, пожалуй, наиболее ярко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 творческое воображение и мышление. Одним из видов конструирования является оригами. 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Для чего мы учимся складывать бумагу? Для чего нужно оригами?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каждой стране на эти вопросы находится свой ответ. Для японцев оригами является частью культуры, традиции, истории, философии жизни. Оригами для британцев – еще один вид клубной деятельности, так же как для американцев. Сами фигур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только повод для общения. Голландцы используют оригами как чисто прикладное искусство. Даже несложные модели, сделанные из качественной бумаги, в умелых руках голландских домохозяек превращаются в украшение интерьера.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России свой путь развития. Большинство взрослых отечественных </w:t>
      </w:r>
      <w:proofErr w:type="spell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оригамистов</w:t>
      </w:r>
      <w:proofErr w:type="spell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педагоги, а юные </w:t>
      </w:r>
      <w:proofErr w:type="spell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складыватели</w:t>
      </w:r>
      <w:proofErr w:type="spell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их ученики. Можно предположить, что оригами в России в ближайшее время быстрее всего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будет распространяться именно в среде преподавателей и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будет рассматриваться ими как прием обучения и развития многих навыков у ребят.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Какие навыки и способности развивает оригами?</w:t>
      </w:r>
    </w:p>
    <w:p w:rsidR="000D494F" w:rsidRPr="00140704" w:rsidRDefault="000D494F" w:rsidP="000D494F">
      <w:pPr>
        <w:spacing w:after="120" w:line="240" w:lineRule="atLeast"/>
        <w:ind w:left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Оригами: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развивает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способствует концентрации внимания, заставляет сосредоточиться на процессе изготовления, чтобы получить желаемый результат;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стимулирует развитие памяти, так как, чтобы сделать поделку, должен запомнить последовательность ее изготовления, приемы и способы складывания;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активизирует мыслительные процессы. В процессе конструирования возникает необходимость соотнесения наглядных символов со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словесным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(объяснение приемов складывания, способов сборки) и перевод их значения в самостоятельные действия (самостоятельное выполнение работы);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совершенствует трудовые умения, формирует культуру труда;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имеет огромное значение в развитии конструктивного мышления, творческого воображения, художественного вкуса.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Составление тематических композиций способствует развитию композиционных навыков;</w:t>
      </w:r>
    </w:p>
    <w:p w:rsidR="000D494F" w:rsidRPr="00140704" w:rsidRDefault="000D494F" w:rsidP="000D4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Использование такого приема, как отчет о проделанной работе, предварительное устное планирование, работа по технологической, пооперационной карте способствует развитию речи, навыков планирования своей работы, умения последовательно выполнять работу.</w:t>
      </w:r>
    </w:p>
    <w:p w:rsidR="002C1CFE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Занятия оригами с точки зрения психологии получаются эмоционально-разгрузочными, они служат стимулом для интеллектуального и эстетического развития 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щихся.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того, занятия оригами развивают коммуникативные навыки, что особо важно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социуме общежития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Создание изделий своими руками – это универсальное образовательное средство, способное уравновесить одностороннюю интеллектуальную деятельность, чтобы 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человек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развивался всесторонне. Занятия ручным трудом призваны воздействовать на ум, волю, чувства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оучающихся</w:t>
      </w:r>
      <w:proofErr w:type="spell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побуждать их к творческому самовыражению. При этом решается и психологическая задача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</w:t>
      </w:r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2C1CFE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оздание в общежитии атмосферы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эмоционального комфорта.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Искусство оригами – интригующая загадка, и она манит невероятными превращениями обыкновенного квадратика бумаги. Это даже не фокус, это – чудо!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одном листике скрыты многие образы: кораблик, самолетик, домик, шапка, и причудливые драконы, птицы, животные, и другие интересные вещи.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 из простого модуля можно сложить красивые шары, героев любимых мультфильмов, роскошные цветы, животных, птиц и даже машины, корабли, замки.</w:t>
      </w:r>
    </w:p>
    <w:p w:rsidR="000D494F" w:rsidRPr="00140704" w:rsidRDefault="000D494F" w:rsidP="00391D01">
      <w:pPr>
        <w:shd w:val="clear" w:color="auto" w:fill="FFFFFF"/>
        <w:spacing w:after="120" w:line="240" w:lineRule="atLeast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 помощи оригами можно отрабатывать различные поведенческие модели. Модульное оригами (складывание фигур из различных модулей), и особенно создание тематических композиций, требует участия нескольких человек, коллектива. Каждый из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участников складывания должен выполнить один или несколько элементов будущей поделки. При этом его модули должны быть такими же аккуратными, как и те, которые выполнены другими членами группы. Если один из участников группы не смог найти общего языка с другими, договориться с партнерами, поделка выполнена быть не может. Маленькая проблема поиска общего языка в группе сказывается на следующих уровнях общения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Таким образом, складывание оригинальной поделки-игрушки становится обычной психологической задачей, для решения которой следует выбрать лидера, распределить роли, договориться об условиях участия в работе, взаимодействия или правилах. Ведь кому-то в этой группе придется выступить в роли художника, подбирая цвета для выполнения модели, кто-то станет руководить сборкой элементов. А кому-то придется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выполнять роль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статистов. Таким образом, занятия оригами позволяют удовлетворить потребности в общении со своими сверстниками, а также в желании реализовать свои лидерские и организаторские способности.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Еще одним аргументом в пользу и значимость занятий оригами служит то факт, что единственный рабочий материал в оригами – это бумага. Бумага самый доступный и самый дешевый материал для творчества. Бумага привычна, легко поддается любым изменениям. А применение для складывания бумаги любого качества позволяет заниматься оригами всем, не зависимо от социального положения, возраста, образования.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Оригами в состоянии воздействовать на эмоциональную сферу человека. Это особенно важно для тех, у кого есть различные проблемы общения, кто застенчив или, напротив, излишне агрессивен. Оригами, и модульное оригами в частности, – идеальная дидактическая игра, своего род</w:t>
      </w:r>
      <w:bookmarkStart w:id="0" w:name="_GoBack"/>
      <w:bookmarkEnd w:id="0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 конструктор, развивающая фантазию и изобретательность, логику и пространственное мышление, воображение и интеллект.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последний аргумент в пользу занятий модульным оригами – его относительно недавнее появление и распространение в России, а значит– </w:t>
      </w: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визна и необычность. А то, что ново, неопознано, необычно, то особенно интересно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подростку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494F" w:rsidRPr="00140704" w:rsidRDefault="000D494F" w:rsidP="000D494F">
      <w:pPr>
        <w:spacing w:after="120" w:line="240" w:lineRule="atLeast"/>
        <w:ind w:left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Ожидаемые результаты.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Увеличение числа, охваченных организованным досугом; воспитание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обу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ча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щимися необходимого для жизни в обществе социального опыта и формирование в них принимаемой обществом системы ценностей.</w:t>
      </w:r>
      <w:proofErr w:type="gramEnd"/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Проблема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должна быть направлена на их культурно-творческую деятельность и духовно-нравственный потенциал, высокий уровень самосознания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д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исциплины, способности сделать правильный нравственный выбор.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Вся система работы по данному направлению призвана предоставить возможность:</w:t>
      </w:r>
    </w:p>
    <w:p w:rsidR="000D494F" w:rsidRPr="00140704" w:rsidRDefault="000D494F" w:rsidP="000D49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0D494F" w:rsidRPr="00140704" w:rsidRDefault="000D494F" w:rsidP="000D49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 активным в решении жизненных и социальных проблем, уметь нести ответственность за свой выбор;</w:t>
      </w:r>
    </w:p>
    <w:p w:rsidR="00140704" w:rsidRDefault="00140704" w:rsidP="000D494F">
      <w:pPr>
        <w:spacing w:after="120" w:line="240" w:lineRule="atLeast"/>
        <w:ind w:left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40704" w:rsidRDefault="00140704" w:rsidP="000D494F">
      <w:pPr>
        <w:spacing w:after="120" w:line="240" w:lineRule="atLeast"/>
        <w:ind w:left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D494F" w:rsidRPr="00140704" w:rsidRDefault="000D494F" w:rsidP="000D494F">
      <w:pPr>
        <w:spacing w:after="120" w:line="240" w:lineRule="atLeast"/>
        <w:ind w:left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0704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Заключение.</w:t>
      </w:r>
    </w:p>
    <w:p w:rsidR="00391D01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Воспитание – это процесс, постоянно меняющаяся, динамически развивающаяся система взаимодействия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педагога и обучающегося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Она меняется в зависимости и от личности педагога, и личности воспитанника</w:t>
      </w:r>
    </w:p>
    <w:p w:rsidR="000D494F" w:rsidRPr="00140704" w:rsidRDefault="000D494F" w:rsidP="000D494F">
      <w:pPr>
        <w:shd w:val="clear" w:color="auto" w:fill="FFFFFF"/>
        <w:spacing w:after="120" w:line="240" w:lineRule="atLeast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Значение взрослого, должны приобретать роль инструмента, который ненавязчиво организует поведение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подростка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1D01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ало просто воспитывать традиционные ценностные отношения. </w:t>
      </w:r>
      <w:r w:rsidR="00B75FE9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Обучающийся 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должен сам на их основе формировать свою жизненную позицию, быть способным на разумный выбор, выработку самостоятельных идей.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D494F" w:rsidRPr="00140704" w:rsidTr="000D49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494F" w:rsidRPr="00140704" w:rsidRDefault="000D494F" w:rsidP="000D494F">
            <w:pPr>
              <w:spacing w:after="12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494F" w:rsidRPr="00140704" w:rsidRDefault="000D494F" w:rsidP="000D494F">
            <w:pPr>
              <w:spacing w:after="12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5E77" w:rsidRPr="00140704" w:rsidRDefault="00CC5E77" w:rsidP="008642C7">
      <w:pPr>
        <w:spacing w:after="0" w:line="276" w:lineRule="auto"/>
        <w:ind w:left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14070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14070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– тематический</w:t>
      </w:r>
      <w:proofErr w:type="gramEnd"/>
      <w:r w:rsidRPr="0014070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план</w:t>
      </w:r>
    </w:p>
    <w:p w:rsidR="00CC5E77" w:rsidRPr="00140704" w:rsidRDefault="00CC5E77" w:rsidP="008642C7">
      <w:pPr>
        <w:spacing w:after="0" w:line="276" w:lineRule="auto"/>
        <w:ind w:left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Вводное занятие -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Декоративно – прикладное искусство –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3.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Технология и термины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- 1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ч.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Подбор материалов и образцов – </w:t>
      </w:r>
      <w:r w:rsid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4час</w:t>
      </w:r>
    </w:p>
    <w:p w:rsidR="00CC5E7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Конструирование- </w:t>
      </w:r>
      <w:r w:rsid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60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ч.</w:t>
      </w:r>
    </w:p>
    <w:p w:rsidR="008642C7" w:rsidRPr="00140704" w:rsidRDefault="00CC5E7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Композиция - </w:t>
      </w:r>
      <w:r w:rsid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8642C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5ч.</w:t>
      </w:r>
    </w:p>
    <w:p w:rsidR="00CC5E77" w:rsidRPr="00140704" w:rsidRDefault="008642C7" w:rsidP="008642C7">
      <w:pPr>
        <w:spacing w:after="0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10. Оформительская работа – 6</w:t>
      </w:r>
      <w:r w:rsidR="00CC5E77" w:rsidRPr="001407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5E77" w:rsidRDefault="00CC5E77" w:rsidP="008642C7">
      <w:pPr>
        <w:spacing w:after="0" w:line="276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D281F" w:rsidRDefault="00CD281F" w:rsidP="008642C7">
      <w:pPr>
        <w:spacing w:after="0" w:line="276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D281F" w:rsidRDefault="00CD281F" w:rsidP="008642C7">
      <w:pPr>
        <w:spacing w:after="0" w:line="276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D281F" w:rsidRPr="00CD281F" w:rsidRDefault="00CD281F" w:rsidP="00CD281F">
      <w:pPr>
        <w:spacing w:after="0"/>
        <w:ind w:left="0"/>
        <w:jc w:val="right"/>
        <w:rPr>
          <w:color w:val="000000" w:themeColor="text1"/>
          <w:sz w:val="24"/>
          <w:szCs w:val="24"/>
        </w:rPr>
      </w:pPr>
      <w:r w:rsidRPr="00CD281F">
        <w:rPr>
          <w:color w:val="000000" w:themeColor="text1"/>
          <w:sz w:val="24"/>
          <w:szCs w:val="24"/>
        </w:rPr>
        <w:t>Выполнил: Сваткова С.И.,</w:t>
      </w:r>
    </w:p>
    <w:p w:rsidR="00CD281F" w:rsidRPr="00CD281F" w:rsidRDefault="00CD281F" w:rsidP="00CD281F">
      <w:pPr>
        <w:spacing w:after="0"/>
        <w:ind w:left="0"/>
        <w:jc w:val="right"/>
        <w:rPr>
          <w:color w:val="000000" w:themeColor="text1"/>
          <w:sz w:val="24"/>
          <w:szCs w:val="24"/>
        </w:rPr>
      </w:pPr>
      <w:r w:rsidRPr="00CD281F">
        <w:rPr>
          <w:color w:val="000000" w:themeColor="text1"/>
          <w:sz w:val="24"/>
          <w:szCs w:val="24"/>
        </w:rPr>
        <w:t>воспитатель общежития ПУ №2 (Речников)</w:t>
      </w:r>
    </w:p>
    <w:p w:rsidR="00CD281F" w:rsidRPr="00CD281F" w:rsidRDefault="00CD281F" w:rsidP="00CD281F">
      <w:pPr>
        <w:spacing w:after="0"/>
        <w:ind w:left="0"/>
        <w:rPr>
          <w:color w:val="000000" w:themeColor="text1"/>
          <w:sz w:val="24"/>
          <w:szCs w:val="24"/>
        </w:rPr>
      </w:pPr>
    </w:p>
    <w:p w:rsidR="00CD281F" w:rsidRPr="00CD281F" w:rsidRDefault="00CD281F" w:rsidP="008642C7">
      <w:pPr>
        <w:spacing w:after="0" w:line="276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CD281F" w:rsidRPr="00CD281F" w:rsidSect="008642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8E8"/>
    <w:multiLevelType w:val="hybridMultilevel"/>
    <w:tmpl w:val="CF269C9A"/>
    <w:lvl w:ilvl="0" w:tplc="BC6AA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012A7"/>
    <w:multiLevelType w:val="hybridMultilevel"/>
    <w:tmpl w:val="759C71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900CE2"/>
    <w:multiLevelType w:val="hybridMultilevel"/>
    <w:tmpl w:val="CCD83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2223"/>
    <w:multiLevelType w:val="multilevel"/>
    <w:tmpl w:val="91FE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76B62"/>
    <w:multiLevelType w:val="multilevel"/>
    <w:tmpl w:val="BE3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25980"/>
    <w:multiLevelType w:val="hybridMultilevel"/>
    <w:tmpl w:val="B28A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3478"/>
    <w:multiLevelType w:val="hybridMultilevel"/>
    <w:tmpl w:val="5BBA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31BF0"/>
    <w:multiLevelType w:val="hybridMultilevel"/>
    <w:tmpl w:val="CC9E5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06A8"/>
    <w:multiLevelType w:val="multilevel"/>
    <w:tmpl w:val="1FE2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2592"/>
    <w:multiLevelType w:val="hybridMultilevel"/>
    <w:tmpl w:val="1C2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1CC9"/>
    <w:multiLevelType w:val="multilevel"/>
    <w:tmpl w:val="15023422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C14E1"/>
    <w:multiLevelType w:val="hybridMultilevel"/>
    <w:tmpl w:val="4F3A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16043"/>
    <w:multiLevelType w:val="hybridMultilevel"/>
    <w:tmpl w:val="335C9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EC"/>
    <w:rsid w:val="000644C4"/>
    <w:rsid w:val="000D494F"/>
    <w:rsid w:val="00140704"/>
    <w:rsid w:val="00196CCC"/>
    <w:rsid w:val="002C1CFE"/>
    <w:rsid w:val="002D00E7"/>
    <w:rsid w:val="00391D01"/>
    <w:rsid w:val="00426178"/>
    <w:rsid w:val="00672516"/>
    <w:rsid w:val="0072687A"/>
    <w:rsid w:val="00726B83"/>
    <w:rsid w:val="00773A80"/>
    <w:rsid w:val="0081133C"/>
    <w:rsid w:val="0084265D"/>
    <w:rsid w:val="00845B7A"/>
    <w:rsid w:val="008642C7"/>
    <w:rsid w:val="00956C2E"/>
    <w:rsid w:val="009A0C4C"/>
    <w:rsid w:val="00A10BEC"/>
    <w:rsid w:val="00B45441"/>
    <w:rsid w:val="00B75FE9"/>
    <w:rsid w:val="00CC5E77"/>
    <w:rsid w:val="00CD281F"/>
    <w:rsid w:val="00CF3625"/>
    <w:rsid w:val="00FE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0"/>
    <w:pPr>
      <w:spacing w:after="160" w:line="288" w:lineRule="auto"/>
      <w:ind w:left="2160"/>
    </w:pPr>
    <w:rPr>
      <w:rFonts w:ascii="Times New Roman" w:eastAsiaTheme="minorEastAsia" w:hAnsi="Times New Roman"/>
      <w:color w:val="5A5A5A" w:themeColor="text1" w:themeTint="A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E7"/>
    <w:rPr>
      <w:rFonts w:ascii="Tahoma" w:eastAsiaTheme="minorEastAsi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0"/>
    <w:pPr>
      <w:spacing w:after="160" w:line="288" w:lineRule="auto"/>
      <w:ind w:left="2160"/>
    </w:pPr>
    <w:rPr>
      <w:rFonts w:ascii="Times New Roman" w:eastAsiaTheme="minorEastAsia" w:hAnsi="Times New Roman"/>
      <w:color w:val="5A5A5A" w:themeColor="text1" w:themeTint="A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E7"/>
    <w:rPr>
      <w:rFonts w:ascii="Tahoma" w:eastAsiaTheme="minorEastAsi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6E60-2F8B-441C-A590-FE93763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13</cp:revision>
  <cp:lastPrinted>2013-10-22T11:07:00Z</cp:lastPrinted>
  <dcterms:created xsi:type="dcterms:W3CDTF">2013-10-22T10:44:00Z</dcterms:created>
  <dcterms:modified xsi:type="dcterms:W3CDTF">2014-10-14T03:17:00Z</dcterms:modified>
</cp:coreProperties>
</file>