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AF" w:rsidRDefault="00C34CAF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44"/>
          <w:szCs w:val="44"/>
        </w:rPr>
      </w:pPr>
    </w:p>
    <w:p w:rsidR="00C34CAF" w:rsidRDefault="00C34CAF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44"/>
          <w:szCs w:val="44"/>
        </w:rPr>
      </w:pPr>
    </w:p>
    <w:p w:rsidR="00C34CAF" w:rsidRDefault="00C34CAF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44"/>
          <w:szCs w:val="44"/>
        </w:rPr>
      </w:pPr>
    </w:p>
    <w:p w:rsidR="00C34CAF" w:rsidRDefault="00C34CAF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44"/>
          <w:szCs w:val="44"/>
        </w:rPr>
      </w:pPr>
    </w:p>
    <w:p w:rsidR="00512057" w:rsidRDefault="00512057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52"/>
          <w:szCs w:val="52"/>
        </w:rPr>
      </w:pPr>
    </w:p>
    <w:p w:rsidR="00512057" w:rsidRDefault="00512057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52"/>
          <w:szCs w:val="52"/>
        </w:rPr>
      </w:pPr>
    </w:p>
    <w:p w:rsidR="00D567FF" w:rsidRPr="00194DC6" w:rsidRDefault="00270B5C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94DC6">
        <w:rPr>
          <w:rFonts w:ascii="Times New Roman" w:hAnsi="Times New Roman" w:cs="Times New Roman"/>
          <w:b/>
          <w:sz w:val="60"/>
          <w:szCs w:val="60"/>
        </w:rPr>
        <w:t>Методическая разработка</w:t>
      </w:r>
    </w:p>
    <w:p w:rsidR="00A92C33" w:rsidRPr="00C34CAF" w:rsidRDefault="00A92C33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44"/>
          <w:szCs w:val="44"/>
        </w:rPr>
      </w:pPr>
    </w:p>
    <w:p w:rsidR="00C34CAF" w:rsidRDefault="00C34CAF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C34CAF" w:rsidRDefault="00C34CAF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512057" w:rsidRDefault="00512057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36"/>
          <w:szCs w:val="36"/>
        </w:rPr>
      </w:pPr>
    </w:p>
    <w:p w:rsidR="00A92C33" w:rsidRPr="00512057" w:rsidRDefault="00A92C33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94DC6">
        <w:rPr>
          <w:rFonts w:ascii="Times New Roman" w:hAnsi="Times New Roman" w:cs="Times New Roman"/>
          <w:b/>
          <w:sz w:val="40"/>
          <w:szCs w:val="40"/>
        </w:rPr>
        <w:t>Тема:</w:t>
      </w:r>
      <w:r w:rsidRPr="00512057">
        <w:rPr>
          <w:rFonts w:ascii="Times New Roman" w:hAnsi="Times New Roman" w:cs="Times New Roman"/>
          <w:sz w:val="40"/>
          <w:szCs w:val="40"/>
        </w:rPr>
        <w:t xml:space="preserve"> «</w:t>
      </w:r>
      <w:r w:rsidRPr="00512057">
        <w:rPr>
          <w:rFonts w:ascii="Times New Roman" w:hAnsi="Times New Roman" w:cs="Times New Roman"/>
          <w:sz w:val="40"/>
          <w:szCs w:val="40"/>
          <w:u w:val="single"/>
        </w:rPr>
        <w:t xml:space="preserve">Обучение приёму и передаче мяча сверху, </w:t>
      </w:r>
    </w:p>
    <w:p w:rsidR="00A92C33" w:rsidRPr="00512057" w:rsidRDefault="00A92C33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40"/>
          <w:szCs w:val="40"/>
        </w:rPr>
      </w:pPr>
      <w:r w:rsidRPr="00512057">
        <w:rPr>
          <w:rFonts w:ascii="Times New Roman" w:hAnsi="Times New Roman" w:cs="Times New Roman"/>
          <w:sz w:val="40"/>
          <w:szCs w:val="40"/>
          <w:u w:val="single"/>
        </w:rPr>
        <w:t>снизу двумя руками в волейболе</w:t>
      </w:r>
      <w:r w:rsidRPr="00512057">
        <w:rPr>
          <w:rFonts w:ascii="Times New Roman" w:hAnsi="Times New Roman" w:cs="Times New Roman"/>
          <w:sz w:val="40"/>
          <w:szCs w:val="40"/>
        </w:rPr>
        <w:t>»</w:t>
      </w:r>
    </w:p>
    <w:p w:rsidR="00A92C33" w:rsidRDefault="00A92C33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A92C33" w:rsidRDefault="00A92C33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A92C33" w:rsidRDefault="00A92C33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C34CAF" w:rsidRDefault="00C34CAF" w:rsidP="0051321E">
      <w:pPr>
        <w:ind w:firstLine="567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C34CAF" w:rsidRDefault="00C34CAF" w:rsidP="0051321E">
      <w:pPr>
        <w:ind w:firstLine="567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512057" w:rsidRDefault="00512057" w:rsidP="0051321E">
      <w:pPr>
        <w:ind w:firstLine="567"/>
        <w:contextualSpacing/>
        <w:mirrorIndents/>
        <w:jc w:val="right"/>
        <w:rPr>
          <w:rFonts w:ascii="Times New Roman" w:hAnsi="Times New Roman" w:cs="Times New Roman"/>
          <w:sz w:val="36"/>
          <w:szCs w:val="36"/>
        </w:rPr>
      </w:pPr>
    </w:p>
    <w:p w:rsidR="00512057" w:rsidRDefault="00512057" w:rsidP="0051321E">
      <w:pPr>
        <w:ind w:firstLine="567"/>
        <w:contextualSpacing/>
        <w:mirrorIndents/>
        <w:jc w:val="right"/>
        <w:rPr>
          <w:rFonts w:ascii="Times New Roman" w:hAnsi="Times New Roman" w:cs="Times New Roman"/>
          <w:sz w:val="36"/>
          <w:szCs w:val="36"/>
        </w:rPr>
      </w:pPr>
    </w:p>
    <w:p w:rsidR="00512057" w:rsidRDefault="00512057" w:rsidP="0051321E">
      <w:pPr>
        <w:ind w:firstLine="567"/>
        <w:contextualSpacing/>
        <w:mirrorIndents/>
        <w:jc w:val="right"/>
        <w:rPr>
          <w:rFonts w:ascii="Times New Roman" w:hAnsi="Times New Roman" w:cs="Times New Roman"/>
          <w:sz w:val="36"/>
          <w:szCs w:val="36"/>
        </w:rPr>
      </w:pPr>
    </w:p>
    <w:p w:rsidR="00A92C33" w:rsidRPr="00512057" w:rsidRDefault="00A92C33" w:rsidP="0051321E">
      <w:pPr>
        <w:ind w:firstLine="567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12057">
        <w:rPr>
          <w:rFonts w:ascii="Times New Roman" w:hAnsi="Times New Roman" w:cs="Times New Roman"/>
          <w:sz w:val="28"/>
          <w:szCs w:val="28"/>
        </w:rPr>
        <w:t>Преподаватель</w:t>
      </w:r>
      <w:r w:rsidR="00512057">
        <w:rPr>
          <w:rFonts w:ascii="Times New Roman" w:hAnsi="Times New Roman" w:cs="Times New Roman"/>
          <w:sz w:val="28"/>
          <w:szCs w:val="28"/>
        </w:rPr>
        <w:t xml:space="preserve">: </w:t>
      </w:r>
      <w:r w:rsidRPr="00512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057">
        <w:rPr>
          <w:rFonts w:ascii="Times New Roman" w:hAnsi="Times New Roman" w:cs="Times New Roman"/>
          <w:sz w:val="28"/>
          <w:szCs w:val="28"/>
        </w:rPr>
        <w:t>Даниш</w:t>
      </w:r>
      <w:proofErr w:type="spellEnd"/>
      <w:r w:rsidRPr="00512057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C34CAF" w:rsidRDefault="00C34CAF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C34CAF" w:rsidRDefault="00C34CAF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C34CAF" w:rsidRDefault="00C34CAF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C34CAF" w:rsidRDefault="00C34CAF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C34CAF" w:rsidRDefault="00C34CAF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512057" w:rsidRDefault="00512057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36"/>
          <w:szCs w:val="36"/>
        </w:rPr>
      </w:pPr>
    </w:p>
    <w:p w:rsidR="00512057" w:rsidRDefault="00512057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36"/>
          <w:szCs w:val="36"/>
        </w:rPr>
      </w:pPr>
    </w:p>
    <w:p w:rsidR="00512057" w:rsidRDefault="00512057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36"/>
          <w:szCs w:val="36"/>
        </w:rPr>
      </w:pPr>
    </w:p>
    <w:p w:rsidR="00512057" w:rsidRDefault="00512057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36"/>
          <w:szCs w:val="36"/>
        </w:rPr>
      </w:pPr>
    </w:p>
    <w:p w:rsidR="00A92C33" w:rsidRPr="00512057" w:rsidRDefault="00A92C33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sz w:val="20"/>
          <w:szCs w:val="20"/>
        </w:rPr>
      </w:pPr>
      <w:r w:rsidRPr="00512057">
        <w:rPr>
          <w:rFonts w:ascii="Times New Roman" w:hAnsi="Times New Roman" w:cs="Times New Roman"/>
          <w:sz w:val="20"/>
          <w:szCs w:val="20"/>
        </w:rPr>
        <w:t>г. Калининск 2013 г.</w:t>
      </w:r>
    </w:p>
    <w:p w:rsidR="00C34CAF" w:rsidRDefault="00C34CAF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6795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За 40 лет работы в профессиональном – училище г. Калининска ПУ-54, мною накоплен опыт работы и определённая методика обучения основных приёмов в волейболе. Почему я выбрал эту тему: волейбол в г. Калининске пользовался, в настоящее время в меньшей степени, большой популярностью. Сам я по специализации лыжник, лыжные гонки, но с течением времени всё больше отдаю волейболу. В г. Калининске в Д.Ю.СШ. имеется отделение волейбола, где работает специалист волейбола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Петрович. Его воспитанники были чемпионами области, участниками первенства России. Это в основном девушки. Второй большой энтузиаст волейбола Кириллов Виктор Владимирович – тренировал юношей в училище. Посещая тренировки этих тренеров, соревнования, у меня сложилась определённая система в обучении, методика проведения занятий. В связи с изменением  правил по волейболу, меняется тактика и стратегия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волейбол. Хотя я не поддерживаю некоторые изменения в правилах, волейбол теряет свою чистоту, эстетику. Например «можно бить по мячу любой частью тела, в том числе ногой». Мы всегда боролись за чистый приём, строго судили приём мяча сверху, снизу, а теперь приходится менять методику обучения, но я продолжаю учить ребят строго выполнять приём мяча. В нашем училище обучаются по различным специальностям: фермеры, электрики, повар-кондитер, оператор ЭВМ (</w:t>
      </w:r>
      <w:proofErr w:type="spellStart"/>
      <w:r w:rsidR="00296DAE">
        <w:rPr>
          <w:rFonts w:ascii="Times New Roman" w:hAnsi="Times New Roman" w:cs="Times New Roman"/>
          <w:sz w:val="28"/>
          <w:szCs w:val="28"/>
        </w:rPr>
        <w:t>спецконтингент</w:t>
      </w:r>
      <w:proofErr w:type="spellEnd"/>
      <w:r w:rsidR="00296DAE">
        <w:rPr>
          <w:rFonts w:ascii="Times New Roman" w:hAnsi="Times New Roman" w:cs="Times New Roman"/>
          <w:sz w:val="28"/>
          <w:szCs w:val="28"/>
        </w:rPr>
        <w:t xml:space="preserve"> для вооружённых сил). В училище обучаются юноши и девушки, есть группы смешанных девушки и юноши, а преподаватель один. Всё это приходится учитывать при планировании и проведении занятий. Занятия волейболом способствуют воспитанию у учащихся чувство коллективизма, настойчивости, решительности, вниманию и быстроты реакции. Все эти качества готовят учащихся к профессиональной деятельности, службе в Вооружённых Силах и к жизни.</w:t>
      </w:r>
    </w:p>
    <w:p w:rsidR="00296DAE" w:rsidRDefault="00296DAE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6795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958">
        <w:rPr>
          <w:rFonts w:ascii="Times New Roman" w:hAnsi="Times New Roman" w:cs="Times New Roman"/>
          <w:sz w:val="28"/>
          <w:szCs w:val="28"/>
        </w:rPr>
        <w:t>В России волейболом занимаются</w:t>
      </w:r>
      <w:r>
        <w:rPr>
          <w:rFonts w:ascii="Times New Roman" w:hAnsi="Times New Roman" w:cs="Times New Roman"/>
          <w:sz w:val="28"/>
          <w:szCs w:val="28"/>
        </w:rPr>
        <w:t xml:space="preserve"> около 5 млн. человек, только в первенстве страны участвуют 28 мужских и 28 женских команд мастеров. Массовость и мастерство российского волейбола общепризнанны во всём мире. Значительных успехов российские волейболисты достигли на международной арене: мужские и женские команды многократные чемпионы Мира и Европы, чемпионы Олимпийских игр. Большое распространение волейбол получил в профессиональных училищах. Этот вид спорта прочно занимает второе место после лёгкой атлетики. Число учащихся, занимающихся волейболом, свыше 230 тысяч. В учебном процессе волейбол используется как важнейшее средство общей физической подготовки учащихся. Широкое применение волейбола в системе воспитания объясняется несколькими причинами: доступностью игры для различного возраста, возможностью его использования для всестороннего развития и укрепления здоровья, воспитанию моральных и волевых качеств и в </w:t>
      </w:r>
      <w:r>
        <w:rPr>
          <w:rFonts w:ascii="Times New Roman" w:hAnsi="Times New Roman" w:cs="Times New Roman"/>
          <w:sz w:val="28"/>
          <w:szCs w:val="28"/>
        </w:rPr>
        <w:lastRenderedPageBreak/>
        <w:t>то же время его как полезного и эмоционального вида активного отдыха для организации досуга молодёжи, простотой правил игры, высоким зрелищным эффектом игрового состояния, простотой инвентаря, оборудования и площадки для игры.</w:t>
      </w:r>
    </w:p>
    <w:p w:rsidR="00296DAE" w:rsidRDefault="00164534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83A9B">
        <w:rPr>
          <w:rFonts w:ascii="Times New Roman" w:hAnsi="Times New Roman" w:cs="Times New Roman"/>
          <w:sz w:val="28"/>
          <w:szCs w:val="28"/>
          <w:u w:val="single"/>
        </w:rPr>
        <w:t xml:space="preserve">Волейбол </w:t>
      </w:r>
      <w:r>
        <w:rPr>
          <w:rFonts w:ascii="Times New Roman" w:hAnsi="Times New Roman" w:cs="Times New Roman"/>
          <w:sz w:val="28"/>
          <w:szCs w:val="28"/>
        </w:rPr>
        <w:t>– командная спортивная игра, где каждый игрок действует с учётом действий с учётом своего партнёра. Эти особенности способствуют воспитанию у учащихся чувства коллективизма, настойчивости, решительности, целеустремлённости, внимания и быстроты реакции.</w:t>
      </w:r>
    </w:p>
    <w:p w:rsidR="00867958" w:rsidRDefault="00867958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64534" w:rsidRPr="00983A9B" w:rsidRDefault="00164534" w:rsidP="0051321E">
      <w:pPr>
        <w:ind w:firstLine="567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A9B">
        <w:rPr>
          <w:rFonts w:ascii="Times New Roman" w:hAnsi="Times New Roman" w:cs="Times New Roman"/>
          <w:b/>
          <w:sz w:val="28"/>
          <w:szCs w:val="28"/>
          <w:u w:val="single"/>
        </w:rPr>
        <w:t>Волейбол в программе физического воспитания</w:t>
      </w:r>
    </w:p>
    <w:p w:rsidR="00164534" w:rsidRDefault="00164534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волейболу в профессионально-технических училищах направлена на приобретение учащимися теоретических сведений, овладения основными приёмами техники и тактики, приобретение навыков.</w:t>
      </w:r>
    </w:p>
    <w:p w:rsidR="00164534" w:rsidRDefault="00164534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игре и организации самост</w:t>
      </w:r>
      <w:r w:rsidR="00F20C20">
        <w:rPr>
          <w:rFonts w:ascii="Times New Roman" w:hAnsi="Times New Roman" w:cs="Times New Roman"/>
          <w:sz w:val="28"/>
          <w:szCs w:val="28"/>
        </w:rPr>
        <w:t>оятельных занятий. В ходе изуче</w:t>
      </w:r>
      <w:r>
        <w:rPr>
          <w:rFonts w:ascii="Times New Roman" w:hAnsi="Times New Roman" w:cs="Times New Roman"/>
          <w:sz w:val="28"/>
          <w:szCs w:val="28"/>
        </w:rPr>
        <w:t xml:space="preserve">ния данного раздела учащиеся приобретают знания о месте и значении игры </w:t>
      </w:r>
      <w:r w:rsidR="00F20C20">
        <w:rPr>
          <w:rFonts w:ascii="Times New Roman" w:hAnsi="Times New Roman" w:cs="Times New Roman"/>
          <w:sz w:val="28"/>
          <w:szCs w:val="28"/>
        </w:rPr>
        <w:t>в системе физического в</w:t>
      </w:r>
      <w:r>
        <w:rPr>
          <w:rFonts w:ascii="Times New Roman" w:hAnsi="Times New Roman" w:cs="Times New Roman"/>
          <w:sz w:val="28"/>
          <w:szCs w:val="28"/>
        </w:rPr>
        <w:t>оспитания, о структуре движения в технических приёмах игры, изучают взаимодействия игрока с партнёрами в групповых действиях</w:t>
      </w:r>
      <w:r w:rsidR="002250F9">
        <w:rPr>
          <w:rFonts w:ascii="Times New Roman" w:hAnsi="Times New Roman" w:cs="Times New Roman"/>
          <w:sz w:val="28"/>
          <w:szCs w:val="28"/>
        </w:rPr>
        <w:t>.</w:t>
      </w:r>
    </w:p>
    <w:p w:rsidR="002250F9" w:rsidRDefault="002250F9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раздел программы предусматривает овладение техникой основных приёмов нападения и защиты, формирования навыков организации и проведения самостоятельных занятий по волейболу, содействие общему физическому развития и направленное совершенствование физических качеств. На изучение волейбола на весь период обучения в ПТУ отводится от 20 до 30 учебных часов.</w:t>
      </w:r>
    </w:p>
    <w:p w:rsidR="002250F9" w:rsidRDefault="002250F9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83A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67958">
        <w:rPr>
          <w:rFonts w:ascii="Times New Roman" w:hAnsi="Times New Roman" w:cs="Times New Roman"/>
          <w:sz w:val="28"/>
          <w:szCs w:val="28"/>
        </w:rPr>
        <w:t>Первая половина урока отводится для:</w:t>
      </w:r>
      <w:r>
        <w:rPr>
          <w:rFonts w:ascii="Times New Roman" w:hAnsi="Times New Roman" w:cs="Times New Roman"/>
          <w:sz w:val="28"/>
          <w:szCs w:val="28"/>
        </w:rPr>
        <w:t xml:space="preserve"> л/атлетических упражнений. Потом учащиеся 10-15 мин изучают передачу мяча сверху двумя руками. При этом они обычно располагаются в две шеренги лицом друг к другу на противоположных границах зала. Каждый учащийся имеет мяч. Таким образом, учащиеся независимы друг от друга, что даёт мне возможность наиболее полно применять индивидуальный подход. Учащийся, не справляющиеся с заданием может, не мешая товарищам, продолжить работу</w:t>
      </w:r>
      <w:r w:rsidR="009F65F7">
        <w:rPr>
          <w:rFonts w:ascii="Times New Roman" w:hAnsi="Times New Roman" w:cs="Times New Roman"/>
          <w:sz w:val="28"/>
          <w:szCs w:val="28"/>
        </w:rPr>
        <w:t xml:space="preserve"> над освоением трудного для него элемента, продвигаясь в освоении изучаемого элемента, своим удобным для него темпом. Сигнал о прекращении работы подаётся главным образом для того, чтобы сделать общее для всех замечания или объяснить следующее задание.</w:t>
      </w:r>
    </w:p>
    <w:p w:rsidR="00780A39" w:rsidRDefault="009F65F7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83A9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0F9">
        <w:rPr>
          <w:rFonts w:ascii="Times New Roman" w:hAnsi="Times New Roman" w:cs="Times New Roman"/>
          <w:sz w:val="28"/>
          <w:szCs w:val="28"/>
        </w:rPr>
        <w:t>В училище приходят учащиеся с различным уровнем подготовки физической и тактической, поэтому не стоит уделять много времени на уро</w:t>
      </w:r>
      <w:r w:rsidR="00F20C20">
        <w:rPr>
          <w:rFonts w:ascii="Times New Roman" w:hAnsi="Times New Roman" w:cs="Times New Roman"/>
          <w:sz w:val="28"/>
          <w:szCs w:val="28"/>
        </w:rPr>
        <w:t>ках подготовленным учащимся, их я исполь</w:t>
      </w:r>
      <w:r w:rsidR="000310F9">
        <w:rPr>
          <w:rFonts w:ascii="Times New Roman" w:hAnsi="Times New Roman" w:cs="Times New Roman"/>
          <w:sz w:val="28"/>
          <w:szCs w:val="28"/>
        </w:rPr>
        <w:t xml:space="preserve">зую как помощников. Во время обучения их я ставлю в пары с менее подготовленными. Сильные учащиеся исправляют ошибки слабых в технике. При обучении приёму мяча нужно как </w:t>
      </w:r>
    </w:p>
    <w:p w:rsidR="00780A39" w:rsidRDefault="00780A39" w:rsidP="00780A3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6621" cy="1440382"/>
            <wp:effectExtent l="19050" t="0" r="8429" b="0"/>
            <wp:docPr id="1" name="Рисунок 1" descr="C:\Users\УЧЕНИК\Desktop\Даниш\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Даниш\Е 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68" cy="144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5F7" w:rsidRDefault="000310F9" w:rsidP="00780A3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чаще менять вес и объём мячей, используя баскетбольные, футбольные, волейбольные мячи, это способствует ощущению и правильному приёму мяча сверху. На первом этапе обучения первым упражнением среди упражнений, подводящих учащихся к освоению передачи мяча сверху двумя руками, является ловля мяча с собственного подбрасывания встречным движением. Учащиеся должны, подбросив мяч, принять положение стойки волейболиста. Зат</w:t>
      </w:r>
      <w:r w:rsidR="00F20C2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 согласованно разгибая руки, туловище и ноги навстречу опускающемуся мячу, поймать его, закончив упражнение полным выпр</w:t>
      </w:r>
      <w:r w:rsidR="00F20C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млением рук и ног. Это упражнение считаю основой правильного освоения схемы передачи мяча сверху двумя руками. Поэтому сразу после ознакомления с данным приёмом на уроке учащимся предлагаю дома ежедневно выполнять 60-80 раз ловлю каких-нибудь предметов встречным движением. После формирования устойчивого навыка ловли мяча встречным движением можно переходить к следующим упражнениям. При добросовестном отношении к выполнени</w:t>
      </w:r>
      <w:r w:rsidR="00F20C20">
        <w:rPr>
          <w:rFonts w:ascii="Times New Roman" w:hAnsi="Times New Roman" w:cs="Times New Roman"/>
          <w:sz w:val="28"/>
          <w:szCs w:val="28"/>
        </w:rPr>
        <w:t>ю э</w:t>
      </w:r>
      <w:r>
        <w:rPr>
          <w:rFonts w:ascii="Times New Roman" w:hAnsi="Times New Roman" w:cs="Times New Roman"/>
          <w:sz w:val="28"/>
          <w:szCs w:val="28"/>
        </w:rPr>
        <w:t xml:space="preserve">того упражнения и домашнего задания уже на следующем уроке абсолютное большинство учащихся технически правильно его выполняют. Ввиду важности данного упражнения учащиеся сдают его на оценку. Понятно, что приём контрольных упражнений, зачётов и нормативов на уроках влечёт за собой потерю времени. </w:t>
      </w:r>
      <w:r w:rsidR="00ED72E7">
        <w:rPr>
          <w:rFonts w:ascii="Times New Roman" w:hAnsi="Times New Roman" w:cs="Times New Roman"/>
          <w:sz w:val="28"/>
          <w:szCs w:val="28"/>
        </w:rPr>
        <w:t>Мне удаётся избежать этого, применив следующую организацию урока. После соответствующей функциональной подготовки во вводной части урока провожу выполнение упражнений по принципу круговой тренировки. Делю учащихся на 4 группы (по 5-7 учащихся). Соответственно определяю четыре станции. Упражнения на каждой из них выполняются в течение 3 мин.</w:t>
      </w:r>
    </w:p>
    <w:p w:rsidR="00780A39" w:rsidRDefault="00780A39" w:rsidP="00780A39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3725" cy="2131833"/>
            <wp:effectExtent l="19050" t="0" r="6575" b="0"/>
            <wp:docPr id="2" name="Рисунок 2" descr="C:\Users\УЧЕНИК\Desktop\Даниш\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Даниш\Е 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75" cy="213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2E7" w:rsidRDefault="00ED72E7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71F6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Первая станция</w:t>
      </w:r>
      <w:r>
        <w:rPr>
          <w:rFonts w:ascii="Times New Roman" w:hAnsi="Times New Roman" w:cs="Times New Roman"/>
          <w:sz w:val="28"/>
          <w:szCs w:val="28"/>
        </w:rPr>
        <w:t xml:space="preserve"> – прыжки в длину с места. На полу в зале наносится разметка, поэтому учащиеся с удовольствием прыгают самостоятельно, успевая сделать до 12-15 прыжков.</w:t>
      </w:r>
    </w:p>
    <w:p w:rsidR="00ED72E7" w:rsidRDefault="00ED72E7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71F6">
        <w:rPr>
          <w:rFonts w:ascii="Times New Roman" w:hAnsi="Times New Roman" w:cs="Times New Roman"/>
          <w:sz w:val="28"/>
          <w:szCs w:val="28"/>
          <w:u w:val="single"/>
        </w:rPr>
        <w:t>Вторая станция</w:t>
      </w:r>
      <w:r>
        <w:rPr>
          <w:rFonts w:ascii="Times New Roman" w:hAnsi="Times New Roman" w:cs="Times New Roman"/>
          <w:sz w:val="28"/>
          <w:szCs w:val="28"/>
        </w:rPr>
        <w:t xml:space="preserve"> – метание в круг с расстояния 5 метров теннисных мячей.</w:t>
      </w:r>
    </w:p>
    <w:p w:rsidR="00ED72E7" w:rsidRDefault="00ED72E7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71F6">
        <w:rPr>
          <w:rFonts w:ascii="Times New Roman" w:hAnsi="Times New Roman" w:cs="Times New Roman"/>
          <w:sz w:val="28"/>
          <w:szCs w:val="28"/>
          <w:u w:val="single"/>
        </w:rPr>
        <w:t>Третья станция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(прыжки с одной ноги на другую) по границам зала.</w:t>
      </w:r>
    </w:p>
    <w:p w:rsidR="00ED72E7" w:rsidRDefault="00ED72E7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71F6">
        <w:rPr>
          <w:rFonts w:ascii="Times New Roman" w:hAnsi="Times New Roman" w:cs="Times New Roman"/>
          <w:sz w:val="28"/>
          <w:szCs w:val="28"/>
          <w:u w:val="single"/>
        </w:rPr>
        <w:t>Четвёртая станция</w:t>
      </w:r>
      <w:r>
        <w:rPr>
          <w:rFonts w:ascii="Times New Roman" w:hAnsi="Times New Roman" w:cs="Times New Roman"/>
          <w:sz w:val="28"/>
          <w:szCs w:val="28"/>
        </w:rPr>
        <w:t xml:space="preserve"> – подбрасывание и ловля мяча встречным движением.</w:t>
      </w:r>
    </w:p>
    <w:p w:rsidR="00ED72E7" w:rsidRDefault="00ED72E7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71F6">
        <w:rPr>
          <w:rFonts w:ascii="Times New Roman" w:hAnsi="Times New Roman" w:cs="Times New Roman"/>
          <w:b/>
          <w:sz w:val="28"/>
          <w:szCs w:val="28"/>
        </w:rPr>
        <w:t>Второй этап обучения</w:t>
      </w:r>
      <w:r>
        <w:rPr>
          <w:rFonts w:ascii="Times New Roman" w:hAnsi="Times New Roman" w:cs="Times New Roman"/>
          <w:sz w:val="28"/>
          <w:szCs w:val="28"/>
        </w:rPr>
        <w:t xml:space="preserve"> – передача мяча сверху – совершенствование разученных действий: ловля мяча с собственного подбрасывания встречным движением после перемещения.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Вверх-вперёд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вперёд-назад,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вверх-вправо-влево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7958" w:rsidRDefault="00867958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958" w:rsidRDefault="00867958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1F6" w:rsidRDefault="007871F6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71F6">
        <w:rPr>
          <w:rFonts w:ascii="Times New Roman" w:hAnsi="Times New Roman" w:cs="Times New Roman"/>
          <w:b/>
          <w:sz w:val="28"/>
          <w:szCs w:val="28"/>
        </w:rPr>
        <w:t>Третий этап обучения</w:t>
      </w:r>
      <w:r>
        <w:rPr>
          <w:rFonts w:ascii="Times New Roman" w:hAnsi="Times New Roman" w:cs="Times New Roman"/>
          <w:sz w:val="28"/>
          <w:szCs w:val="28"/>
        </w:rPr>
        <w:t xml:space="preserve"> – выполнение упражнения, подводящего к передаче мяча сверху двумя руками: ловля мяча встречным движением набрасывания его партнёром. Обращается внимание учащихся, набрасывающих мяч, на важность набрасывания мяча по высокой траектории.</w:t>
      </w:r>
    </w:p>
    <w:p w:rsidR="007871F6" w:rsidRDefault="007871F6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871F6">
        <w:rPr>
          <w:rFonts w:ascii="Times New Roman" w:hAnsi="Times New Roman" w:cs="Times New Roman"/>
          <w:b/>
          <w:sz w:val="28"/>
          <w:szCs w:val="28"/>
        </w:rPr>
        <w:t>Четвёртый этап</w:t>
      </w:r>
      <w:r>
        <w:rPr>
          <w:rFonts w:ascii="Times New Roman" w:hAnsi="Times New Roman" w:cs="Times New Roman"/>
          <w:sz w:val="28"/>
          <w:szCs w:val="28"/>
        </w:rPr>
        <w:t xml:space="preserve">. После усвоения этого упражнения учащиеся знакомятся с правильным расположением рук при передаче мяча сверху двумя руками и учащимся даётся задание: </w:t>
      </w:r>
      <w:r w:rsidR="00F952DA">
        <w:rPr>
          <w:rFonts w:ascii="Times New Roman" w:hAnsi="Times New Roman" w:cs="Times New Roman"/>
          <w:sz w:val="28"/>
          <w:szCs w:val="28"/>
        </w:rPr>
        <w:t>развести пальцы, расположив кисти так, чтобы между большими и указательными пальцами образовался «ромбик» - указательные и большие пальцы не соединяются.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952DA">
        <w:rPr>
          <w:rFonts w:ascii="Times New Roman" w:hAnsi="Times New Roman" w:cs="Times New Roman"/>
          <w:b/>
          <w:sz w:val="28"/>
          <w:szCs w:val="28"/>
        </w:rPr>
        <w:t>Пятый этап</w:t>
      </w:r>
      <w:r w:rsidR="00F20C20">
        <w:rPr>
          <w:rFonts w:ascii="Times New Roman" w:hAnsi="Times New Roman" w:cs="Times New Roman"/>
          <w:sz w:val="28"/>
          <w:szCs w:val="28"/>
        </w:rPr>
        <w:t xml:space="preserve"> разучивания начинается</w:t>
      </w:r>
      <w:r>
        <w:rPr>
          <w:rFonts w:ascii="Times New Roman" w:hAnsi="Times New Roman" w:cs="Times New Roman"/>
          <w:sz w:val="28"/>
          <w:szCs w:val="28"/>
        </w:rPr>
        <w:t xml:space="preserve"> с задания: расположив кисти рук, поднять их до уровня лба и разогнуть в лучезапястных суставах так, чтобы указательные пальцы были направлены в сторону носа.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952DA">
        <w:rPr>
          <w:rFonts w:ascii="Times New Roman" w:hAnsi="Times New Roman" w:cs="Times New Roman"/>
          <w:b/>
          <w:sz w:val="28"/>
          <w:szCs w:val="28"/>
        </w:rPr>
        <w:t>Шестой этап</w:t>
      </w:r>
      <w:r>
        <w:rPr>
          <w:rFonts w:ascii="Times New Roman" w:hAnsi="Times New Roman" w:cs="Times New Roman"/>
          <w:sz w:val="28"/>
          <w:szCs w:val="28"/>
        </w:rPr>
        <w:t xml:space="preserve"> – имитация передачи мяча сверху двумя руками. Учащиеся из стойки волейболиста принимают исходное положение для передачи мяча сверху, разгибая ноги и руки, тянутся вверх, в последний момент «ломая воронку» сгибанием и поворотом кистей ладонями слегка наружу.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952DA">
        <w:rPr>
          <w:rFonts w:ascii="Times New Roman" w:hAnsi="Times New Roman" w:cs="Times New Roman"/>
          <w:b/>
          <w:sz w:val="28"/>
          <w:szCs w:val="28"/>
        </w:rPr>
        <w:t>Для волейболиста характерно гармоничное развитие физических качеств:</w:t>
      </w:r>
      <w:r>
        <w:rPr>
          <w:rFonts w:ascii="Times New Roman" w:hAnsi="Times New Roman" w:cs="Times New Roman"/>
          <w:sz w:val="28"/>
          <w:szCs w:val="28"/>
        </w:rPr>
        <w:t xml:space="preserve"> силы, быстроты, ловкости, выносливости и гибкости. Характерным проявлением силы является способность предельно быстро сокращать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мыщцы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показывать при этом большую силу в минимальный отрезок времени; особенно это относится к работе мышц ног.</w:t>
      </w:r>
    </w:p>
    <w:p w:rsidR="00F952DA" w:rsidRP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DA">
        <w:rPr>
          <w:rFonts w:ascii="Times New Roman" w:hAnsi="Times New Roman" w:cs="Times New Roman"/>
          <w:b/>
          <w:sz w:val="28"/>
          <w:szCs w:val="28"/>
        </w:rPr>
        <w:t>Характерным проявление быстроты является: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быстрота ответной реакции в ответ на внешние раздражители.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быстрота отдельного движения (движение руки при выполнении удара по мячу)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начальная (стартовая) быстрота движения.</w:t>
      </w:r>
    </w:p>
    <w:p w:rsidR="00867958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952DA">
        <w:rPr>
          <w:rFonts w:ascii="Times New Roman" w:hAnsi="Times New Roman" w:cs="Times New Roman"/>
          <w:b/>
          <w:sz w:val="28"/>
          <w:szCs w:val="28"/>
        </w:rPr>
        <w:t>Характерным проявлением ловкости является</w:t>
      </w:r>
      <w:r w:rsidR="00867958">
        <w:rPr>
          <w:rFonts w:ascii="Times New Roman" w:hAnsi="Times New Roman" w:cs="Times New Roman"/>
          <w:b/>
          <w:sz w:val="28"/>
          <w:szCs w:val="28"/>
        </w:rPr>
        <w:t>: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 своим телом в без</w:t>
      </w:r>
      <w:r w:rsidR="00F20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опорном положении (нападающий удар, блок, приём мяча в падении).</w:t>
      </w:r>
    </w:p>
    <w:p w:rsidR="00F952DA" w:rsidRPr="00867958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58">
        <w:rPr>
          <w:rFonts w:ascii="Times New Roman" w:hAnsi="Times New Roman" w:cs="Times New Roman"/>
          <w:b/>
          <w:sz w:val="28"/>
          <w:szCs w:val="28"/>
        </w:rPr>
        <w:t xml:space="preserve">Характерным проявлением выносливости является: 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прыжковая выносливость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скоростная выносливость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силы: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сгибание и разгибание кистей с гантелями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вращение кистей с гантелями в руках (1,0 – 1,5 кг)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броски набивных мячей (2,5 – 5кг)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отжимание от пола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со штангой на плечах</w:t>
      </w:r>
    </w:p>
    <w:p w:rsidR="00F952DA" w:rsidRDefault="00F952DA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со скалкой</w:t>
      </w:r>
    </w:p>
    <w:p w:rsidR="00187A62" w:rsidRP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62">
        <w:rPr>
          <w:rFonts w:ascii="Times New Roman" w:hAnsi="Times New Roman" w:cs="Times New Roman"/>
          <w:b/>
          <w:sz w:val="28"/>
          <w:szCs w:val="28"/>
        </w:rPr>
        <w:t>Упражнения для развития быстроты: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стартовые ускорения из различных позиций (сидя, лёжа и т.д.)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быстрая смена направлений в беге и резкие остановки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на короткие (3-10м) с партнёром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62">
        <w:rPr>
          <w:rFonts w:ascii="Times New Roman" w:hAnsi="Times New Roman" w:cs="Times New Roman"/>
          <w:b/>
          <w:sz w:val="28"/>
          <w:szCs w:val="28"/>
        </w:rPr>
        <w:t>Упражнения для развития ловкости и гибкости: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одиночные и многократные кувырки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с подкидного мостика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вверх с поворотами в воздухе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упражнений из гимнастики, акробатики, лёгкой и тяжёлой атлетики позволяет расширить объём упражнений и улучшить физическую подготовленность занимающихся волейболом.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свой опыт, знания, методику обучения волейбол в училище пользуется большой популярностью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проводятся соревнования между группами, в которых участвуют до 10 команд. Чтобы сделать соревнования более массовыми в соревнованиях участвуют по 2 команды от группы.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училище работают 2 секции волейбола, в которых занимаются до 40 учащихся.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проводятся товарищеские встречи по волейболу между школами, ДСШ, организациями, колхозами – это способствует лучшей профориентации, и юноши и девушки приходят к нам учиться.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многих организациях, колхозах успешно работают наши выпускники – волейболисты, это команда ремзавода, в которой полностью вся команда наши воспитанники, команда РОВД, налоговой инспекции.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сборная команда города на 50% укомплектована нашими выпускниками.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Неоднократно наша команда по волейболу была чемпионом областного совета «Трудовые резервы» среди сельских и городских профтехучилищ, «Юность России».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1980 г. команда участвовала в первенстве России среди коллективов физкультуры зоны Поволжья,  где заняла 5 место.</w:t>
      </w:r>
    </w:p>
    <w:p w:rsidR="00867958" w:rsidRDefault="00867958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67958" w:rsidRDefault="00187A62" w:rsidP="00867958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83A9B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A62" w:rsidRDefault="00187A62" w:rsidP="00867958">
      <w:pPr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культура:</w:t>
      </w:r>
      <w:r w:rsidR="00867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(учебник для проф. тех. Образования) 1997г.</w:t>
      </w:r>
    </w:p>
    <w:p w:rsidR="00187A62" w:rsidRDefault="00983A9B" w:rsidP="00867958">
      <w:pPr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в школе №1 1997г.</w:t>
      </w:r>
    </w:p>
    <w:p w:rsidR="00983A9B" w:rsidRDefault="00983A9B" w:rsidP="00867958">
      <w:pPr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в школе №2 2007г.</w:t>
      </w:r>
    </w:p>
    <w:p w:rsidR="00983A9B" w:rsidRDefault="00983A9B" w:rsidP="00867958">
      <w:pPr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физического воспитания 2010г.</w:t>
      </w:r>
    </w:p>
    <w:p w:rsidR="00983A9B" w:rsidRDefault="00983A9B" w:rsidP="00867958">
      <w:pPr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(журнал №3) 2011г.</w:t>
      </w:r>
    </w:p>
    <w:p w:rsidR="00187A62" w:rsidRDefault="00187A62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E05C4" w:rsidRDefault="00EE05C4" w:rsidP="0051321E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EE05C4" w:rsidSect="005120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71D8"/>
    <w:multiLevelType w:val="hybridMultilevel"/>
    <w:tmpl w:val="028C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compat/>
  <w:rsids>
    <w:rsidRoot w:val="00270B5C"/>
    <w:rsid w:val="00004FB0"/>
    <w:rsid w:val="00013D9A"/>
    <w:rsid w:val="000204F8"/>
    <w:rsid w:val="000310F9"/>
    <w:rsid w:val="00043231"/>
    <w:rsid w:val="000D2C14"/>
    <w:rsid w:val="00100488"/>
    <w:rsid w:val="001369F3"/>
    <w:rsid w:val="00164534"/>
    <w:rsid w:val="001737E2"/>
    <w:rsid w:val="00187A62"/>
    <w:rsid w:val="00194DC6"/>
    <w:rsid w:val="00197DB7"/>
    <w:rsid w:val="002250F9"/>
    <w:rsid w:val="00270B5C"/>
    <w:rsid w:val="00296DAE"/>
    <w:rsid w:val="002C658D"/>
    <w:rsid w:val="00473E25"/>
    <w:rsid w:val="00512057"/>
    <w:rsid w:val="0051321E"/>
    <w:rsid w:val="005220C1"/>
    <w:rsid w:val="005B7E82"/>
    <w:rsid w:val="00665BF9"/>
    <w:rsid w:val="0073412A"/>
    <w:rsid w:val="00780A39"/>
    <w:rsid w:val="007871F6"/>
    <w:rsid w:val="00867958"/>
    <w:rsid w:val="008D1D26"/>
    <w:rsid w:val="008D6526"/>
    <w:rsid w:val="00906928"/>
    <w:rsid w:val="00983A9B"/>
    <w:rsid w:val="009B78A0"/>
    <w:rsid w:val="009F565E"/>
    <w:rsid w:val="009F65F7"/>
    <w:rsid w:val="00A71645"/>
    <w:rsid w:val="00A92C33"/>
    <w:rsid w:val="00AA020C"/>
    <w:rsid w:val="00B56B01"/>
    <w:rsid w:val="00B850B5"/>
    <w:rsid w:val="00C0476B"/>
    <w:rsid w:val="00C06D50"/>
    <w:rsid w:val="00C279F3"/>
    <w:rsid w:val="00C34CAF"/>
    <w:rsid w:val="00CE1629"/>
    <w:rsid w:val="00D567FF"/>
    <w:rsid w:val="00DE28BD"/>
    <w:rsid w:val="00ED72E7"/>
    <w:rsid w:val="00EE05C4"/>
    <w:rsid w:val="00F13F5F"/>
    <w:rsid w:val="00F20C20"/>
    <w:rsid w:val="00F9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1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6DF4-75F3-4496-A09D-949227C0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32</cp:revision>
  <dcterms:created xsi:type="dcterms:W3CDTF">2014-02-02T09:20:00Z</dcterms:created>
  <dcterms:modified xsi:type="dcterms:W3CDTF">2014-02-10T21:49:00Z</dcterms:modified>
</cp:coreProperties>
</file>