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CD" w:rsidRDefault="004877CD" w:rsidP="004877C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 ДОД  ДДТ г. Карабаша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«Практикум комплексного экологического изучения водного объекта»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tabs>
          <w:tab w:val="left" w:pos="615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Авторы</w:t>
      </w:r>
    </w:p>
    <w:p w:rsidR="004877CD" w:rsidRDefault="004877CD" w:rsidP="004877CD">
      <w:pPr>
        <w:pStyle w:val="a3"/>
        <w:tabs>
          <w:tab w:val="left" w:pos="615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Петухова Г.В.</w:t>
      </w:r>
    </w:p>
    <w:p w:rsidR="004877CD" w:rsidRDefault="004877CD" w:rsidP="004877CD">
      <w:pPr>
        <w:pStyle w:val="a3"/>
        <w:tabs>
          <w:tab w:val="left" w:pos="615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Петухов С.Ю.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Карабаш   2011г.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Экология исследует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сложнейшие взаимоотношения между организмами и сообществами с неживой природой и между собой, то есть абиотическими и биотическими факторами. При этом вся деятельность человека — это пусть и мощная, ускоряющая многие процессы, но лишь часть этого процесса. Не поняв влияния других факторов, нам будет сложно вычленить степень антропогенного воздействия и с уверенностью утверждать, что именно загрязнение вызвало те или иные изменения сообществ и качества воды.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Важно понять —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какое качество воды мы определяем?</w:t>
      </w:r>
      <w:r>
        <w:rPr>
          <w:rFonts w:ascii="Times New Roman" w:hAnsi="Times New Roman"/>
          <w:sz w:val="24"/>
          <w:szCs w:val="24"/>
          <w:lang w:eastAsia="ru-RU"/>
        </w:rPr>
        <w:t xml:space="preserve"> Беда в том, что при оценке качества природных вод мы пытаемся исходить только из «водохозяйственного» направления, и игнорируем «экологическое». При «водохозяйственном» понимании качества воды исследователь ставит себя на место потребителя, который находится вне водоема, и его потребности основываются на пригодности воды для конкретных видов водопользования. Необходимо же придерживаться «экологического» направления, при котором водный объект рассматривается в первую очередь как среда обитания гидробионтов. При таком подходе происходит признание не только «внешних» по отношению к экосистеме факторов (промышленность, сельское хозяйство и т. д.), но и «внутренних» (абиотические и биотические компоненты). В таком случае при оценке состояния сообществ гидробионтов учитывается все многообразие условий, каждое из которых в определенный момент может быть ведущим и определяющим/лимитирующим. И, что очень важно, влияние на изменение качества среды обитания и трансформацию живого населения может оказать и скорость течения, и деятельность водных и околоводных позвоночных и т. д., а не только антропогенное загрязнение.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Начинать работу необходимо с изучения основных факторов среды обитания. Из чего она состоит? В нашем — «водяном» случае, конечно, из воды. Значит, мы будем заниматься изучением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гидросферы.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Точнее, одной из ее частей.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Какие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типы пресноводных объектов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существуют? Конечно, озера, реки, ручьи, ключи, пруды, лужи.… Теперь попытаемся классифицировать их по какому-либо отличительному признаку.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Первый — «стоит» вода на месте или непрерывно движется от истока к устью.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То есть: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текучие — стоячие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лотическая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среда от лат.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lotus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— омывающий) —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лентическая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среда от лат.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lenis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— спокойный) </w:t>
      </w:r>
      <w:r>
        <w:rPr>
          <w:rFonts w:ascii="Times New Roman" w:hAnsi="Times New Roman"/>
          <w:bCs/>
          <w:sz w:val="24"/>
          <w:szCs w:val="24"/>
          <w:lang w:eastAsia="ru-RU"/>
        </w:rPr>
        <w:t>родник, ручей, река — озеро, пруд, болото.</w:t>
      </w:r>
      <w:proofErr w:type="gramEnd"/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Большинство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гидроэкологических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работ проводятся на малых реках — самом распространенном типе водных объектов на Земле.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Особенность малых рек — отсутствие однозначных критериев выделения их типологических границ как самостоятельного класса водотоков. Существует несколько определений малых рек. «Река малая — река, имеющая сток в течение всего года или кратковременно прерывающийся сток вследствие истощения запасов дренируемых ею подземных вод» (Мезенцев)</w:t>
      </w:r>
      <w:bookmarkStart w:id="0" w:name="b_1"/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HYPERLINK "http://www.abitu.ru/researcher/methodics/method/Est_napravl/a_150wxp.html" \l "a_1"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0"/>
      <w:r>
        <w:rPr>
          <w:rFonts w:ascii="Times New Roman" w:hAnsi="Times New Roman"/>
          <w:sz w:val="24"/>
          <w:szCs w:val="24"/>
          <w:lang w:eastAsia="ru-RU"/>
        </w:rPr>
        <w:t>. Критерий по площади водосбора указан в Государственном стандарте 2006-07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: к категории малых здесь отнесены равнинные реки с площадью водосбора менее 2000 км</w:t>
      </w:r>
      <w:bookmarkStart w:id="1" w:name="b_2"/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HYPERLINK "http://www.abitu.ru/researcher/methodics/method/Est_napravl/a_150wxp.html" \l "a_2"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Наиболее распространена классификация рек по длине: к ним отнесены объекты короче 100 км 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Водогрецкий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 Е.)</w:t>
      </w:r>
      <w:bookmarkStart w:id="2" w:name="b_3"/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HYPERLINK "http://www.abitu.ru/researcher/methodics/method/Est_napravl/a_150wxp.html" \l "a_3"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2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Скорость течения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— важный фактор речной среды, во многом определяющего условия жизни и распределения животных, растений и их сообществ. Не замерить скорость течения, изучая экологию сообществ водотока.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Как произвести измерения скорости течения воды?</w:t>
      </w:r>
      <w:r>
        <w:rPr>
          <w:rFonts w:ascii="Times New Roman" w:hAnsi="Times New Roman"/>
          <w:sz w:val="24"/>
          <w:szCs w:val="24"/>
          <w:lang w:eastAsia="ru-RU"/>
        </w:rPr>
        <w:t xml:space="preserve"> Необходимо узнать время, за которое какой-либо плавающий предмет преодолевает определенное расстояние.  Для этого используются следующие методики: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Физические исследования воды</w:t>
      </w:r>
    </w:p>
    <w:p w:rsidR="004877CD" w:rsidRDefault="004877CD" w:rsidP="004877C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Измерение скорости течения воды</w:t>
      </w:r>
    </w:p>
    <w:p w:rsidR="004877CD" w:rsidRDefault="004877CD" w:rsidP="004877CD">
      <w:pPr>
        <w:pStyle w:val="a3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4877CD" w:rsidRDefault="004877CD" w:rsidP="004877C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Вниз  по течению пускается поплавок (пенопластовая пластинка,</w:t>
      </w:r>
      <w:proofErr w:type="gramEnd"/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резиновый мяч, апельсин и т. п.), а предварительно замеряется расстояние от одной точки до другой (примерно 10-20 метров). Отдельно можно выяснить скорость течения на 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русле (стрежне или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медиали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реки и у берегов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рипали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).</w:t>
      </w:r>
    </w:p>
    <w:p w:rsidR="004877CD" w:rsidRDefault="004877CD" w:rsidP="004877C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Кроме поплавочного метода можно использовать L-образную трубку высотой 50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длиной 10 см и диаметром 2 см, поместив ее таким образом, чтобы короткий конец был обращен навстречу течению. Измерив высоту столба, на которую вода поднялась в длинном конце трубки, можно высчитать скорость течения, используя следующую формулу: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V = J2hg</w:t>
      </w:r>
      <w:r>
        <w:rPr>
          <w:rFonts w:ascii="Times New Roman" w:hAnsi="Times New Roman"/>
          <w:sz w:val="24"/>
          <w:szCs w:val="24"/>
          <w:lang w:eastAsia="ru-RU"/>
        </w:rPr>
        <w:t xml:space="preserve"> , где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V — скорость течения воды, см/с; g — ускорение силы тяжести (981 см/с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>); h — высота столба воды, см.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гидрологии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выделяют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быстротекущие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участки, на которых скорость течения превышает 0,3 м/с, и 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медленнотекущие,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 которых скорость потока менее 0,2 м/с. Полезно собрать сведения о 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морфометрии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реки. Длина поможет определить категорию реки (табл.1); ширина  является важным показателем для характеристики водного объекта (рис. 1)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Таблица 1 . Классификация малых рек  (по: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Рохмистров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 В. Л., Наумов С. С., 1984)</w:t>
      </w:r>
      <w:bookmarkStart w:id="3" w:name="b_4"/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instrText xml:space="preserve"> HYPERLINK "http://www.abitu.ru/researcher/methodics/method/Est_napravl/a_150wxp.html" \l "a_4" </w:instrTex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separate"/>
      </w:r>
      <w:r>
        <w:rPr>
          <w:rStyle w:val="a5"/>
          <w:rFonts w:ascii="Times New Roman" w:hAnsi="Times New Roman"/>
          <w:b/>
          <w:bCs/>
          <w:color w:val="auto"/>
          <w:sz w:val="24"/>
          <w:szCs w:val="24"/>
          <w:vertAlign w:val="superscript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end"/>
      </w:r>
      <w:bookmarkEnd w:id="3"/>
      <w:proofErr w:type="gramEnd"/>
    </w:p>
    <w:tbl>
      <w:tblPr>
        <w:tblW w:w="92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31"/>
        <w:gridCol w:w="1880"/>
        <w:gridCol w:w="2462"/>
        <w:gridCol w:w="2092"/>
      </w:tblGrid>
      <w:tr w:rsidR="004877CD" w:rsidTr="004877CD">
        <w:trPr>
          <w:trHeight w:val="39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Водосбор,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877CD" w:rsidTr="004877CD">
        <w:trPr>
          <w:trHeight w:val="4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Незначительные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4877CD" w:rsidTr="004877CD">
        <w:trPr>
          <w:trHeight w:val="4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Очень малые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4877CD" w:rsidTr="004877CD">
        <w:trPr>
          <w:trHeight w:val="39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Самые малые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4877CD" w:rsidTr="004877CD">
        <w:trPr>
          <w:trHeight w:val="4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Среднемалые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4877CD" w:rsidTr="004877CD">
        <w:trPr>
          <w:trHeight w:val="39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13,0</w:t>
            </w: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877CD" w:rsidRDefault="004877CD" w:rsidP="004877C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Измерение ширины реки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2091055</wp:posOffset>
                </wp:positionV>
                <wp:extent cx="447675" cy="561975"/>
                <wp:effectExtent l="5715" t="5080" r="13335" b="1397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14.95pt;margin-top:164.65pt;width:35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"/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Для определения ширины реки методом подобия треугольников потребуется четыре сухие ветки. Выбрать дерево у воды на противоположном берегу реки (точка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А).</w:t>
      </w:r>
      <w:r>
        <w:rPr>
          <w:rFonts w:ascii="Times New Roman" w:hAnsi="Times New Roman"/>
          <w:sz w:val="24"/>
          <w:szCs w:val="24"/>
          <w:lang w:eastAsia="ru-RU"/>
        </w:rPr>
        <w:t xml:space="preserve"> Воткнуть ветку точно напротив дерева на своем берегу (точка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В).</w:t>
      </w:r>
      <w:r>
        <w:rPr>
          <w:rFonts w:ascii="Times New Roman" w:hAnsi="Times New Roman"/>
          <w:sz w:val="24"/>
          <w:szCs w:val="24"/>
          <w:lang w:eastAsia="ru-RU"/>
        </w:rPr>
        <w:t xml:space="preserve"> Отойти на 40 шагов влево от линии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АВ</w:t>
      </w:r>
      <w:r>
        <w:rPr>
          <w:rFonts w:ascii="Times New Roman" w:hAnsi="Times New Roman"/>
          <w:sz w:val="24"/>
          <w:szCs w:val="24"/>
          <w:lang w:eastAsia="ru-RU"/>
        </w:rPr>
        <w:t xml:space="preserve"> и воткнуть вторую ветку (точка С). Пройти в том же направлении еще 20 шагов и воткнуть третью ветку (точка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D).</w:t>
      </w:r>
      <w:r>
        <w:rPr>
          <w:rFonts w:ascii="Times New Roman" w:hAnsi="Times New Roman"/>
          <w:sz w:val="24"/>
          <w:szCs w:val="24"/>
          <w:lang w:eastAsia="ru-RU"/>
        </w:rPr>
        <w:t xml:space="preserve"> Отойти, считая шаги, в противоположном от реки направлении так, чтобы оказаться на одной прямой с точками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 и С и воткнуть четвертую ветку (точка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Е).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Расстояние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DE</w:t>
      </w:r>
      <w:r>
        <w:rPr>
          <w:rFonts w:ascii="Times New Roman" w:hAnsi="Times New Roman"/>
          <w:sz w:val="24"/>
          <w:szCs w:val="24"/>
          <w:lang w:eastAsia="ru-RU"/>
        </w:rPr>
        <w:t xml:space="preserve"> будет равно половине ширины реки. Умножив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DE</w:t>
      </w:r>
      <w:r>
        <w:rPr>
          <w:rFonts w:ascii="Times New Roman" w:hAnsi="Times New Roman"/>
          <w:sz w:val="24"/>
          <w:szCs w:val="24"/>
          <w:lang w:eastAsia="ru-RU"/>
        </w:rPr>
        <w:t> на два, получим ширину реки в шагах.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А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103505</wp:posOffset>
                </wp:positionV>
                <wp:extent cx="5362575" cy="466725"/>
                <wp:effectExtent l="0" t="8255" r="13335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466725"/>
                        </a:xfrm>
                        <a:custGeom>
                          <a:avLst/>
                          <a:gdLst>
                            <a:gd name="G0" fmla="+- 0 0 0"/>
                            <a:gd name="G1" fmla="+- 21589 0 0"/>
                            <a:gd name="G2" fmla="+- 21600 0 0"/>
                            <a:gd name="T0" fmla="*/ 682 w 19071"/>
                            <a:gd name="T1" fmla="*/ 0 h 21589"/>
                            <a:gd name="T2" fmla="*/ 19071 w 19071"/>
                            <a:gd name="T3" fmla="*/ 11447 h 21589"/>
                            <a:gd name="T4" fmla="*/ 0 w 19071"/>
                            <a:gd name="T5" fmla="*/ 21589 h 21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71" h="21589" fill="none" extrusionOk="0">
                              <a:moveTo>
                                <a:pt x="682" y="-1"/>
                              </a:moveTo>
                              <a:cubicBezTo>
                                <a:pt x="8420" y="244"/>
                                <a:pt x="15435" y="4611"/>
                                <a:pt x="19070" y="11447"/>
                              </a:cubicBezTo>
                            </a:path>
                            <a:path w="19071" h="21589" stroke="0" extrusionOk="0">
                              <a:moveTo>
                                <a:pt x="682" y="-1"/>
                              </a:moveTo>
                              <a:cubicBezTo>
                                <a:pt x="8420" y="244"/>
                                <a:pt x="15435" y="4611"/>
                                <a:pt x="19070" y="11447"/>
                              </a:cubicBezTo>
                              <a:lnTo>
                                <a:pt x="0" y="2158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-33.3pt;margin-top:8.15pt;width:422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71,2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" path="m682,-1nfc8420,244,15435,4611,19070,11447em682,-1nsc8420,244,15435,4611,19070,11447l,21589,682,-1xe" filled="f">
                <v:path arrowok="t" o:extrusionok="f" o:connecttype="custom" o:connectlocs="191772,0;5362575,247469;0,466725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768350</wp:posOffset>
                </wp:positionV>
                <wp:extent cx="5162550" cy="104775"/>
                <wp:effectExtent l="5715" t="6350" r="13335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17.55pt;margin-top:60.5pt;width:406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24765</wp:posOffset>
                </wp:positionV>
                <wp:extent cx="0" cy="971550"/>
                <wp:effectExtent l="5715" t="5715" r="13335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5.95pt;margin-top:1.95pt;width:0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24765</wp:posOffset>
                </wp:positionV>
                <wp:extent cx="2095500" cy="1488440"/>
                <wp:effectExtent l="5715" t="5715" r="13335" b="107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0" cy="148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0.95pt;margin-top:1.95pt;width:165pt;height:117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"/>
            </w:pict>
          </mc:Fallback>
        </mc:AlternateConten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tabs>
          <w:tab w:val="left" w:pos="3540"/>
        </w:tabs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207645</wp:posOffset>
                </wp:positionV>
                <wp:extent cx="635" cy="516890"/>
                <wp:effectExtent l="5715" t="7620" r="12700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0.95pt;margin-top:16.35pt;width:.05pt;height: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207645</wp:posOffset>
                </wp:positionV>
                <wp:extent cx="2095500" cy="0"/>
                <wp:effectExtent l="5715" t="7620" r="1333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0.95pt;margin-top:16.35pt;width:16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D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C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   В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E</w:t>
      </w:r>
    </w:p>
    <w:p w:rsidR="004877CD" w:rsidRDefault="004877CD" w:rsidP="004877CD">
      <w:pPr>
        <w:pStyle w:val="a3"/>
        <w:tabs>
          <w:tab w:val="left" w:pos="2685"/>
          <w:tab w:val="left" w:pos="3270"/>
        </w:tabs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    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Рис. 1.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Определение ширины реки (по: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Антимонов Н. А.)</w:t>
      </w:r>
      <w:bookmarkStart w:id="4" w:name="b_5"/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instrText xml:space="preserve"> HYPERLINK "http://www.abitu.ru/researcher/methodics/method/Est_napravl/a_150wxp.html" \l "a_5" </w:instrTex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separate"/>
      </w:r>
      <w:r>
        <w:rPr>
          <w:rStyle w:val="a5"/>
          <w:rFonts w:ascii="Times New Roman" w:hAnsi="Times New Roman"/>
          <w:b/>
          <w:bCs/>
          <w:color w:val="auto"/>
          <w:sz w:val="24"/>
          <w:szCs w:val="24"/>
          <w:vertAlign w:val="superscript"/>
          <w:lang w:eastAsia="ru-RU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end"/>
      </w:r>
      <w:bookmarkEnd w:id="4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Произведя замеры скорости течения, ширины и глубины, мы получим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гидрологические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 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морфометрические характеристики </w:t>
      </w:r>
      <w:r>
        <w:rPr>
          <w:rFonts w:ascii="Times New Roman" w:hAnsi="Times New Roman"/>
          <w:sz w:val="24"/>
          <w:szCs w:val="24"/>
          <w:lang w:eastAsia="ru-RU"/>
        </w:rPr>
        <w:t>изучаемого участка водотока.</w:t>
      </w:r>
    </w:p>
    <w:p w:rsidR="004877CD" w:rsidRDefault="004877CD" w:rsidP="004877C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Измерение  физических характеристик воды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Следующим параметром, важным для измерения водной среды, является прозрачность. Абсолютно прозрачной воды не существует. Способность пропускать свет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зависит в большей степени от содержания того или иного количества взвешенного вещества — или мертвого в виде ила, или живого — в виде планктона.</w:t>
      </w:r>
    </w:p>
    <w:p w:rsidR="004877CD" w:rsidRDefault="004877CD" w:rsidP="004877CD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Белый диск (для этого может быть использована крышка от кастрюли) диаметром около 30 см, прикрепить его к размеченной через 5-10 см веревке. Замер производится следующим образом: необходимо встать с теневой стороны лодки (судна, причала) и погрузить диск (называется такой инструмент диском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Секки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до исчезновения. Затем, дав отдохнуть глазам 1-2 минуты, его поднимают. Показателем прозрачности считается средняя арифметическая двух глубин — исчезновения и появления диска.</w:t>
      </w:r>
    </w:p>
    <w:p w:rsidR="004877CD" w:rsidRDefault="004877CD" w:rsidP="004877CD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Прозрачность можно определить  путем чтения стандартного, хорошо освещенного шрифта через столб воды, налитой в градуированный цилиндр с плоским дном. Воду в цилиндр наливают постепенно, следя за четкостью шрифта до тех пор, пока буквы будут плохо различимы. Высота столба воды, налитой в цилиндр, выраженная в сантиметрах, является показателем прозрачности.</w:t>
      </w:r>
    </w:p>
    <w:p w:rsidR="004877CD" w:rsidRDefault="004877CD" w:rsidP="004877C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Мутность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воды связана с присутствием в ней твердых частиц. Для определения</w:t>
      </w:r>
    </w:p>
    <w:p w:rsidR="004877CD" w:rsidRDefault="004877CD" w:rsidP="004877CD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мутности воду взбалтывают, наливают в пробирку так, чтобы высота воды была ровна 10 см. и рассматривают в проходящем свете. Мутность характеризуется описательно: слабая, заметная, сильная.</w:t>
      </w:r>
      <w:r>
        <w:t xml:space="preserve">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2 Мутность воды     </w:t>
      </w:r>
    </w:p>
    <w:tbl>
      <w:tblPr>
        <w:tblStyle w:val="a4"/>
        <w:tblpPr w:leftFromText="180" w:rightFromText="180" w:vertAnchor="text" w:horzAnchor="margin" w:tblpX="108" w:tblpY="203"/>
        <w:tblW w:w="0" w:type="auto"/>
        <w:tblInd w:w="0" w:type="dxa"/>
        <w:tblLook w:val="01E0" w:firstRow="1" w:lastRow="1" w:firstColumn="1" w:lastColumn="1" w:noHBand="0" w:noVBand="0"/>
      </w:tblPr>
      <w:tblGrid>
        <w:gridCol w:w="9366"/>
      </w:tblGrid>
      <w:tr w:rsidR="004877CD" w:rsidTr="004877CD">
        <w:trPr>
          <w:trHeight w:val="315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Степень  мутности</w:t>
            </w:r>
          </w:p>
        </w:tc>
      </w:tr>
      <w:tr w:rsidR="004877CD" w:rsidTr="004877CD">
        <w:trPr>
          <w:trHeight w:val="645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Мутность не заметна  (отсутствует)</w:t>
            </w:r>
          </w:p>
        </w:tc>
      </w:tr>
      <w:tr w:rsidR="004877CD" w:rsidTr="004877CD">
        <w:trPr>
          <w:trHeight w:val="315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Слабо опалесцирующая</w:t>
            </w:r>
          </w:p>
        </w:tc>
      </w:tr>
      <w:tr w:rsidR="004877CD" w:rsidTr="004877CD">
        <w:trPr>
          <w:trHeight w:val="315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Опалесцирующая</w:t>
            </w:r>
          </w:p>
        </w:tc>
      </w:tr>
      <w:tr w:rsidR="004877CD" w:rsidTr="004877CD">
        <w:trPr>
          <w:trHeight w:val="315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Слабо мутная </w:t>
            </w:r>
          </w:p>
        </w:tc>
      </w:tr>
      <w:tr w:rsidR="004877CD" w:rsidTr="004877CD">
        <w:trPr>
          <w:trHeight w:val="315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Мутная</w:t>
            </w:r>
          </w:p>
        </w:tc>
      </w:tr>
      <w:tr w:rsidR="004877CD" w:rsidTr="004877CD">
        <w:trPr>
          <w:trHeight w:val="330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Очень мутная</w:t>
            </w: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4877CD" w:rsidRDefault="004877CD" w:rsidP="004877CD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коническую колбу с пробкой (желательно стеклянной) налейте исследуемую воду до 2/3 объёма и сильно встряхните в закрытом состоянии. Затем откройте колбу и отметьте характер и интенсивность запаха. Дайте оценку интенсивности запаха воды в баллах, пользуясь таблицей №3 - 4.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Запах воды обусловлен наличием в ней летучих пахучих веществ, которые попадают в воду естественным путем либо со сточными водами. Практически все органические вещества  имеют запах и передают его воде. Обычно запах определяют при нормальной </w:t>
      </w:r>
      <w:r>
        <w:rPr>
          <w:rFonts w:ascii="Times New Roman" w:hAnsi="Times New Roman"/>
          <w:sz w:val="24"/>
          <w:szCs w:val="24"/>
        </w:rPr>
        <w:lastRenderedPageBreak/>
        <w:t>температуре. Запах  по характеру подразделяют на две группы, описывая его субъективно по своим ощущениям  (табл. 3 - 4):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естественного происхождения;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искусственного происхождения. Такие запахи обычно значительно изменяются при обработке.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3  Характер и интенсивность запаха </w:t>
      </w:r>
    </w:p>
    <w:tbl>
      <w:tblPr>
        <w:tblStyle w:val="a4"/>
        <w:tblpPr w:leftFromText="180" w:rightFromText="180" w:vertAnchor="text" w:horzAnchor="margin" w:tblpY="86"/>
        <w:tblW w:w="0" w:type="auto"/>
        <w:tblInd w:w="0" w:type="dxa"/>
        <w:tblLook w:val="01E0" w:firstRow="1" w:lastRow="1" w:firstColumn="1" w:lastColumn="1" w:noHBand="0" w:noVBand="0"/>
      </w:tblPr>
      <w:tblGrid>
        <w:gridCol w:w="4376"/>
        <w:gridCol w:w="4900"/>
      </w:tblGrid>
      <w:tr w:rsidR="004877CD" w:rsidTr="004877CD">
        <w:trPr>
          <w:trHeight w:val="55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Естественного происхождения: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Искусственного происхождения:</w:t>
            </w:r>
          </w:p>
        </w:tc>
      </w:tr>
      <w:tr w:rsidR="004877CD" w:rsidTr="004877CD">
        <w:trPr>
          <w:trHeight w:val="295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землистый </w:t>
            </w: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гнилостный</w:t>
            </w: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плесневый</w:t>
            </w: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торфяной</w:t>
            </w: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-травянистый и др.</w:t>
            </w: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-нефтепродуктов   </w:t>
            </w: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(бензиновый и др.)</w:t>
            </w: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хлорный </w:t>
            </w: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уксусный</w:t>
            </w: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877CD" w:rsidRDefault="004877C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фенольный  и др.</w:t>
            </w: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Интенсивность запаха оценивают по 5 - бальной шкале, приведенной в таблице 4.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4 Определение характера и интенсивности запаха     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089"/>
      </w:tblGrid>
      <w:tr w:rsidR="004877CD" w:rsidTr="004877C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Интенсивность запаха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Характер проявления запаха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Оценка интенсивности запаха</w:t>
            </w:r>
          </w:p>
        </w:tc>
      </w:tr>
      <w:tr w:rsidR="004877CD" w:rsidTr="004877CD">
        <w:trPr>
          <w:trHeight w:val="31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Запах не ощущается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CD" w:rsidRDefault="004877CD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:rsidR="004877CD" w:rsidRDefault="004877CD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77CD" w:rsidTr="004877C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Очень слабая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Запах сразу не ощущается,  но обнаруживается при тщательном исследовании  </w:t>
            </w:r>
            <w:r>
              <w:rPr>
                <w:sz w:val="24"/>
                <w:szCs w:val="24"/>
                <w:lang w:eastAsia="ru-RU"/>
              </w:rPr>
              <w:lastRenderedPageBreak/>
              <w:t>(при нагревании воды</w:t>
            </w:r>
            <w:proofErr w:type="gram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877CD" w:rsidTr="004877C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Слабая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Запах замечается и вызывает неодобрительный отзыв о качестве воды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877CD" w:rsidTr="004877C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Заметная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Запах обращает на себя внимание и заставляет воздержаться от употребления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877CD" w:rsidTr="004877C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Отчетливая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Запах настолько сильный, что делает воду непригодной к употреблению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877CD" w:rsidTr="004877C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CD" w:rsidRDefault="004877CD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4877CD" w:rsidRDefault="004877CD">
            <w:pPr>
              <w:pStyle w:val="a3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питьевой воды допускается запах не более 2 баллов.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877CD" w:rsidRDefault="004877CD" w:rsidP="004877CD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Вкус и привкус воды, обнаруживаемые непосредственно в воде не должны превышать 2 баллов. Вкус и привкусы оцениваются как качественно, так и количественно по интенсивности в баллах. Различают четыре вида: соленый, горький, сладкий и кислый. Остальные вкусовые ощущения называют привкусами: хлорный, рыбный, металлический и т.п. интенсивность вкуса, как и запаха, определяется по пятибалльной шкале, приведенной в таблице 5.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Вкус и привкус определяются в сырой воде при комнатной температуре и 60ºС. В воде открытых водоемов и источников, сомнительных в санитарном отношении, вкус воды устанавливают только после ее кипячения. При исследовании в рот набирают 10-15 мл воды, держат несколько минут (не проглатывая!) и определяют характер и интенсивность привкуса.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Таблица 5 Определение  характера и интенсивности вкуса и привкуса.                    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877CD" w:rsidTr="004877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Интенсивность вкуса и привкуса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Характер проявления вкуса и привкуса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Оценка интенсивности вкуса и привкуса</w:t>
            </w:r>
          </w:p>
        </w:tc>
      </w:tr>
      <w:tr w:rsidR="004877CD" w:rsidTr="004877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Вкус и привкус не ощущаются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77CD" w:rsidTr="004877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Очень слабая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Вкус и привкус сразу не ощущаются потребителем, </w:t>
            </w:r>
            <w:r>
              <w:rPr>
                <w:sz w:val="24"/>
                <w:szCs w:val="24"/>
                <w:lang w:eastAsia="ru-RU"/>
              </w:rPr>
              <w:lastRenderedPageBreak/>
              <w:t>но обнаруживается при тщательном тестировании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877CD" w:rsidTr="004877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Слабая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Вкус и привкус замечаются, если обратить на это внимание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877CD" w:rsidTr="004877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Заметная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Вкус и привкус легко замечаются и вызывают неодобрительный отзыв о качестве воды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877CD" w:rsidTr="004877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Отчетливая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Вкус и привкус обращают на себя внимание и заставляют воздержаться от употребления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877CD" w:rsidTr="004877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Вкус и привкус настолько </w:t>
            </w:r>
            <w:proofErr w:type="gramStart"/>
            <w:r>
              <w:rPr>
                <w:sz w:val="24"/>
                <w:szCs w:val="24"/>
                <w:lang w:eastAsia="ru-RU"/>
              </w:rPr>
              <w:t>сильные</w:t>
            </w:r>
            <w:proofErr w:type="gramEnd"/>
            <w:r>
              <w:rPr>
                <w:sz w:val="24"/>
                <w:szCs w:val="24"/>
                <w:lang w:eastAsia="ru-RU"/>
              </w:rPr>
              <w:t>,  что делают воду непригодной к употреблению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питьевой воды допускаются значения показателей вкуса и привкуса не более 2 баллов.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4877CD" w:rsidRDefault="004877CD" w:rsidP="004877CD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Цветность – естественное свойство природной воды, обусловленное присутствием гуминовых веществ и комплексных соединений железа. Цветность воды может определяться свойствами и структурой дна водоема, характером водной растительности, прилегающей к водоему почв, наличием в водосборном бассейне болот и торфяников и т.д. Цветность воды определяют визуально.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Таблица 6 Цветность воды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877CD" w:rsidTr="004877CD">
        <w:trPr>
          <w:trHeight w:val="49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Слабо-желтоватая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Коричневатая</w:t>
            </w:r>
          </w:p>
        </w:tc>
      </w:tr>
      <w:tr w:rsidR="004877CD" w:rsidTr="004877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Светло-желтоватая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Красно-коричневатая</w:t>
            </w:r>
          </w:p>
        </w:tc>
      </w:tr>
      <w:tr w:rsidR="004877CD" w:rsidTr="004877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Другая </w:t>
            </w:r>
          </w:p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(укажите какая)</w:t>
            </w:r>
          </w:p>
        </w:tc>
      </w:tr>
      <w:tr w:rsidR="004877CD" w:rsidTr="004877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Интенсивно-желтая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CD" w:rsidRDefault="004877CD">
            <w:pPr>
              <w:pStyle w:val="a3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877CD" w:rsidRDefault="004877CD" w:rsidP="004877CD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Измерение температуры воды: </w:t>
      </w:r>
      <w:r>
        <w:rPr>
          <w:rFonts w:ascii="Times New Roman" w:hAnsi="Times New Roman"/>
          <w:sz w:val="24"/>
          <w:szCs w:val="24"/>
          <w:lang w:eastAsia="ru-RU"/>
        </w:rPr>
        <w:t>аккуратно войдите в воду. Погрузите термометр в воду. Подождите, пока установится цвет на шкале (не менее 50 секунд) и определите температуру, не вынимая термометр из воды.</w:t>
      </w:r>
    </w:p>
    <w:p w:rsidR="004877CD" w:rsidRDefault="004877CD" w:rsidP="004877C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Измерение количества растворенных веществ в воде </w:t>
      </w:r>
    </w:p>
    <w:p w:rsidR="004877CD" w:rsidRDefault="004877CD" w:rsidP="004877CD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с помощью мерного стакана взять пробы воды (100 мл) и пробы кипяченой воды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определить с помощью весов массу пустых чашек, налить в них воду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поставить обе чашки на электроплитку и нагревать до полного испарения воды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после охлаждения взвесить обе чашки, определить массу осадков, занести результаты в таблицу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Таблица  7 Результаты измерений массы осадков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45"/>
        <w:gridCol w:w="1663"/>
        <w:gridCol w:w="2929"/>
        <w:gridCol w:w="1913"/>
      </w:tblGrid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Масса пустых чашек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воды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Масса чашек с осадками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Масса осадков (г)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spacing w:after="0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spacing w:after="0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spacing w:after="0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spacing w:after="0"/>
              <w:rPr>
                <w:rFonts w:cstheme="minorHAnsi"/>
              </w:rPr>
            </w:pP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- предварительно кипяченая вода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Вычислить количество растворенных веществ (С) в питьевой воде по формулам: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447675"/>
            <wp:effectExtent l="0" t="0" r="9525" b="9525"/>
            <wp:docPr id="2" name="Рисунок 2" descr="Описание: http://www.abitu.ru/researcher/methodics/method/Est_napravl/eco/a_xsjxm/f_ul81-arpfuyb5t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abitu.ru/researcher/methodics/method/Est_napravl/eco/a_xsjxm/f_ul81-arpfuyb5tf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CD" w:rsidRDefault="004877CD" w:rsidP="004877CD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Наличие мусора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на расстоянии 50 метров вдоль берега определить мусор на дне и у кромки воды.</w:t>
      </w:r>
    </w:p>
    <w:p w:rsidR="004877CD" w:rsidRDefault="004877CD" w:rsidP="004877CD">
      <w:pPr>
        <w:pStyle w:val="a3"/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Описание ландшафта водного объекта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К разряду «простых» исследований, но необходимых для анализа, относится  описание ландшафта.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 этом нужно обратить внимание на следующие моменты: характер берегов (высокие, пологие, песчаные, глинистые), тип прибрежной растительности (древесная, луговая, пастбища и т. д.).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 данном случае необходимо учесть соблюдение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водоохранных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полос (выписка 1) и отметить все факты нарушений — распашку, наличие хозяйственно-бытовых построек и пр.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Выписка 1.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Извлечение из Положения о 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водоохранных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зонах (полосах) рек, озер и водохранилищ. Утверждено Постановлением Совета Министров РСФСР от 17 марта 1989 г. № 91: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«3. Минимальная ширина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водоохранных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зон устанавливается: для рек — от среднемноголетнего уреза воды в летний период по длине реки от истока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до 10 км — 15 м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br/>
        <w:t>от 11 до 50 км — 100 м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br/>
        <w:t>от 51 до 100 км — 200 м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> 101 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> 200 км — 300 м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br/>
        <w:t>от 201 до 500 км — 400 м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br/>
        <w:t>свыше 500 км — 500 м 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для озер — от среднемноголетнего уреза воды в летний период и для водохранилищ — от уреза воды при нормальном подпорном уровне при площади акватории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до 2 км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> — 300 м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br/>
        <w:t>более 2 км</w:t>
      </w:r>
      <w:r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 — 500 м«.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Важную информацию даст изучение грунтов: сильно заиленный грунт — показатель большого количества органического вещества, которое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биота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не в состоянии переработать. Для определения типа грунта можно воспользоваться табл. 8.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Таблица 8 Типы и особенности грунтов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60"/>
        <w:gridCol w:w="7385"/>
      </w:tblGrid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Тип грунта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K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аменистый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Дно покрывают преимущественно камни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Каменисто-песчаный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Среди отдельных камней есть участки открытого песчаного грунта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Песчаный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Преобладает песок, изредка встречаются камни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Песчано-илистый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Песок частично или полностью покрыт илом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Илисто-песчаный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 является преобладающей фракцией, при растирании между пальцами ощущается присутствие песка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Илистый (ил)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растирании между пальцами не ощущается присутствие песка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Глинистый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растирании ощущается пластичность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Задернованные почвы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Характерны для искусственных водоемов, бобровых прудов и при подъеме уровня воды в результате паводков</w:t>
            </w: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Итак, простейшие, но необходимые физические показатели состояния воды нами изучены. Теперь можно провести более тонкие работы по 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гидрохимическому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исследованию.</w:t>
      </w:r>
    </w:p>
    <w:p w:rsidR="004877CD" w:rsidRDefault="004877CD" w:rsidP="004877CD">
      <w:pPr>
        <w:pStyle w:val="a3"/>
        <w:spacing w:line="36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Гидрохимические исследования воды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Из всего многообразия показателей химии воды можно выбрать два: наиболее важный для жизни гидробионтов —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содержание растворенного кислорода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 показатель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биохимического потребления кислорода (БПК).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БПК указывает, сколько кислорода необходимо бактериям для поглощения и окисления органических веществ в воде. Эта характеристика важна еще и по двум причинам: во-первых, как отражающая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трофические условия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существования сообществ, во-вторых, как критерий качества вод (табл. 9).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Таблица 9  Характеристика классов качества вод (по: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Апекин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ОА, 1970</w:t>
      </w:r>
      <w:bookmarkStart w:id="5" w:name="b_6"/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instrText xml:space="preserve"> HYPERLINK "http://www.abitu.ru/researcher/methodics/method/Est_napravl/a_150wxp.html" \l "a_6" </w:instrTex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separate"/>
      </w:r>
      <w:r>
        <w:rPr>
          <w:rStyle w:val="a5"/>
          <w:rFonts w:ascii="Times New Roman" w:hAnsi="Times New Roman"/>
          <w:b/>
          <w:bCs/>
          <w:color w:val="auto"/>
          <w:sz w:val="24"/>
          <w:szCs w:val="24"/>
          <w:vertAlign w:val="superscript"/>
          <w:lang w:eastAsia="ru-RU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end"/>
      </w:r>
      <w:bookmarkEnd w:id="5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Олексив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 И. Т., 1992</w:t>
      </w:r>
      <w:bookmarkStart w:id="6" w:name="b_7"/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instrText xml:space="preserve"> HYPERLINK "http://www.abitu.ru/researcher/methodics/method/Est_napravl/a_150wxp.html" \l "a_7" </w:instrTex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separate"/>
      </w:r>
      <w:r>
        <w:rPr>
          <w:rStyle w:val="a5"/>
          <w:rFonts w:ascii="Times New Roman" w:hAnsi="Times New Roman"/>
          <w:b/>
          <w:bCs/>
          <w:color w:val="auto"/>
          <w:sz w:val="24"/>
          <w:szCs w:val="24"/>
          <w:vertAlign w:val="superscript"/>
          <w:lang w:eastAsia="ru-RU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fldChar w:fldCharType="end"/>
      </w:r>
      <w:bookmarkEnd w:id="6"/>
      <w:r>
        <w:rPr>
          <w:rFonts w:ascii="Times New Roman" w:hAnsi="Times New Roman"/>
          <w:b/>
          <w:bCs/>
          <w:sz w:val="24"/>
          <w:szCs w:val="24"/>
          <w:lang w:eastAsia="ru-RU"/>
        </w:rPr>
        <w:t>).</w:t>
      </w:r>
      <w:proofErr w:type="gramEnd"/>
    </w:p>
    <w:tbl>
      <w:tblPr>
        <w:tblW w:w="93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06"/>
        <w:gridCol w:w="1118"/>
        <w:gridCol w:w="1117"/>
        <w:gridCol w:w="1117"/>
        <w:gridCol w:w="1117"/>
        <w:gridCol w:w="1294"/>
        <w:gridCol w:w="1016"/>
      </w:tblGrid>
      <w:tr w:rsidR="004877CD" w:rsidTr="004877CD">
        <w:trPr>
          <w:trHeight w:val="479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 качества воды</w:t>
            </w:r>
          </w:p>
        </w:tc>
      </w:tr>
      <w:tr w:rsidR="004877CD" w:rsidTr="004877CD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7CD" w:rsidRDefault="0048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877CD" w:rsidTr="004877CD">
        <w:trPr>
          <w:trHeight w:val="4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Прозрачность,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&lt;0,5</w:t>
            </w:r>
          </w:p>
        </w:tc>
      </w:tr>
      <w:tr w:rsidR="004877CD" w:rsidTr="004877CD">
        <w:trPr>
          <w:trHeight w:val="4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мг/л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&lt;2</w:t>
            </w:r>
          </w:p>
        </w:tc>
      </w:tr>
      <w:tr w:rsidR="004877CD" w:rsidTr="004877CD">
        <w:trPr>
          <w:trHeight w:val="4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БПК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1,1-1,9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2,0-2,9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3,0-3,9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&gt; 10,0</w:t>
            </w: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Выделяются шесть классов качества воды: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1-й — очень чистые; 2-й — чистые; 3-й — умеренно-загрязненные;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4-й — загрязненные; 5-й — грязные; 6-й — очень грязные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Проведение замеров абиотических параметров воды — необходимое условие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гидроэкологических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исследований.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Увеличение скорости течения, например на перекатах, способно вызывать сходные с антропогенным загрязнением изменения в видовом составе планктонных сообществ животных — точно так же снижается число видов, численность и биомасса, сокращается количество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фильтраторов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 т. д. И, напротив, в плесах, где происходит аккумуляция органических веществ, приносимых с расположенных выше участков, наблюдается увеличение обилия организмов, развитие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лимнических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форм, повышается степень зарастания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макрофитами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цветение водорослей и т. д. Для бентосных сообществ может наблюдаться обратная картина — более богатые и специфичные сообщества фиксируются на проточных участках.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Биологические методы исследования воды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При наличии в исследуемом водоеме хотя бы одного из организмов верхней части таблицы данному водоему автоматически присваивается класс чистоты не ниже выявленного. Наличие других организмов (характерных для более грязных вод) не учитывается.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Таблица № 10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Оценка качества воды по организмам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макрозообентоса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972"/>
        <w:gridCol w:w="2473"/>
      </w:tblGrid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индикаторных таксонов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Условная оценка качества воды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Личинки веснянки, ручейника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Риакофила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Очень чистая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Губки, плоские личинки поденок, ручейник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Нейроклепсис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личинка вилохвосток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Чистая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Роющие личинки поденок, Ручейники при отсутствии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Риакофила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Нейроклепсис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личинки стрекоз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Красотки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Плосконожки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личинки мошки, водяные клопы, крупные двустворчатые моллюски, моллюски-затворки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Личинки стрекоз при отсутствии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Красотки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Плосконожки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личинки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вислокрылки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водяной ослик, плоские пиявки, мелкие двустворчатые моллюски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Загрязненная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Масса мотыля (личинки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масса трубочника, червеобразные пиявки при отсутствии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плоских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Грязная</w:t>
            </w:r>
          </w:p>
        </w:tc>
      </w:tr>
      <w:tr w:rsidR="004877CD" w:rsidTr="004877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Макробеспозвоночных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7CD" w:rsidRDefault="004877C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Очень грязная</w:t>
            </w:r>
          </w:p>
        </w:tc>
      </w:tr>
    </w:tbl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Зообентос – это совокупность беспозвоночных животных, которые населяют дно водоемов, водную растительность и другие субстраты. Наиболее крупных представителей бентоса, с размерами тела более 2 мм, называют макробентосами. Население макробентоса составляют черви, моллюски, ракообразные, паукообразные, насекомые.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Относительная малоподвижность и крупные размеры представителей макробентоса облегчают задачу его обнаружения и распознавания начинающим экологам.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Для целей учебно-исследовательского мониторинга выбирают участки субстрата в стоячих водоемах в литоральной (прибрежной) зоне, а в реках – в прибрежной зоне и на перекатах. Пробы для целей экологического мониторинга следует отбирать в средних во всех отношениях участках водоема и, конечно, в различных его частях.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Для отбора проб лучше использовать скребок, который представляет собой надетую на палку металлическую рамку с режущей кромкой, к которой пришито сито из плотной бязи. Работу необходимо выполнять в высоких (болотных) сапогах. При отборе проб на реках скребок устанавливается ниже по течению относительно субстрата, с которого ведется отбор, чтобы организмы вместе с взмученными частицами грунта попадали внутрь сита скребка с течением. Стоя в воде в сапогах, следует ворошить грунт ногой, продвигаясь в нем боком и располагая скребок ниже по течению. Каждая бентосная проба снабжается этикеткой.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Форма этикетки к пробе зообентоса: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Номер пробы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Глубина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Орудие лова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отбора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Водоем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скребков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отбора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Примечания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 –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Если пункт наблюдений находится сравнительно недалеко от лаборатории, то проба сохраняется в незафиксированном виде для выборки живых организмов в лаборатории.      Разобранная проба сортируется по систематическим группам до семейств. При пересчете численности и биомассы организмов необходимо пользоваться коэффициентами пересчета.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При отборе проб скребком за 1 количественную пробу или 1 скребок принять прохождение режущей кромки в поверхностном слое грунта полосы в 50 см. При ширине режущей кромки в 16 см (стандарт) облавливаемая площадь составит 800 см в квадрате, что меньше 1 квадратного метра в 12,5 раза. Следовательно, коэффициент пересчета 12,5.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Для получения более достоверных данных измерения не следует проводить однократно и только в одном месте. Полноценный мониторинг водоема должен включать отбор проб как минимум в пяти удаленных друг от друга точках в течение круглого года (по 2-3 пробы в сезон). Рекомендуется проводить измерения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 участках реки до впадения в реку воды из очистных сооружений в нескольких точках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после очистных сооружений тоже в нескольких точках.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Следовательно, основное правило: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фоновый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 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загрязняемый </w:t>
      </w:r>
      <w:r>
        <w:rPr>
          <w:rFonts w:ascii="Times New Roman" w:hAnsi="Times New Roman"/>
          <w:sz w:val="24"/>
          <w:szCs w:val="24"/>
          <w:lang w:eastAsia="ru-RU"/>
        </w:rPr>
        <w:t>участки реки должны иметь одинаковую скорость течения.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Теперь дадим несколько рекомендаций по выбору объектов изучения, задачам, сбору материалов и показателей, используемых для описания состояния сообществ.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Среди критериев, на основе которых должен производиться выбор реки или озера (пруда), можно назвать следующие: водный объект должен быть небольшим (например, река не более 25 км) и относительно доступным. Это позволит проводить работы от истока до устья водотока или по всей площади акватории водоема в сравнительно краткий промежуток времени (3-5 дней).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Все работы должны производиться как минимум три раза в течение вегетационного периода — весной после паводка; летом в меженный сезон; осенью, выступающей своего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рода конечной точкой, после которой жизнь в реке максимально замирает. При этом весенние и осенние работы можно проводить по принципу серии однодневных выездов, а летние — в экспедиционном режиме.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При выборе участков реки, которые будут использованы при проведении сравнительного анализа, необходимо соблюдать несколько правил. </w:t>
      </w:r>
    </w:p>
    <w:p w:rsidR="004877CD" w:rsidRDefault="004877CD" w:rsidP="004877C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Во-первых, их гидрологические характеристики должны быть максимально сходными (при изучении влияния стоков) либо, если поставлена специальная задача (например, изучение влияния скорости течения; различий сообще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ств в пр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ибрежье и в центре), различны.</w:t>
      </w:r>
    </w:p>
    <w:p w:rsidR="004877CD" w:rsidRDefault="004877CD" w:rsidP="004877C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Во-вторых, на протяжении русла реки от фонового до участка, испытывающего влияние какого-либо нарушения, не должно быть притоков, плотин, а само расстояние не должно превышать 300 м (оптимально ~ 50-100 м). На озерах и прудах нужно учитывать, где проводятся исследования — на литорали или в пелагиали. </w:t>
      </w:r>
    </w:p>
    <w:p w:rsidR="004877CD" w:rsidRDefault="004877CD" w:rsidP="004877C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В-третьих, сбор проб на реке необходимо проводить, двигаясь против течения вверх, иначе взвесь из-под ног будет попадать в контрольный образец и засорять его.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Отбор проб на реках лучше проводить методом широких гидрологических створов. На каждом участке реки длиной 20-50 м по визуальным признакам — морфометрическим особенностям участка, составу подстилающих ложе грунтов, скорости течения, глубине, на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рипали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медиали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— выделяются основные биотопы, в которых и собираются интегральные пробы (рис. 4).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10050" cy="1905000"/>
            <wp:effectExtent l="0" t="0" r="0" b="0"/>
            <wp:docPr id="1" name="Рисунок 1" descr="Описание: http://www.abitu.ru/researcher/methodics/method/Est_napravl/a_150wxp/64-4-arpfuyb61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www.abitu.ru/researcher/methodics/method/Est_napravl/a_150wxp/64-4-arpfuyb61o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>Рис. 3. Схема широких гидрологических створов при отборе проб на малых реках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В отдельных случаях (например, при исследованиях горизонтального распределения сообществ; распределения на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рипали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медиали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проточных участков; распределения в зарослях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макрофитов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 др.) отбор производить только в однородных биотопах.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Сами пробы могут быть качественными и количественными.</w:t>
      </w:r>
    </w:p>
    <w:p w:rsidR="004877CD" w:rsidRDefault="004877CD" w:rsidP="004877C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Качественная проба служит для выявления видового состава организмов на отдельном участке реки либо водотока в целом. Поэтому в данном случае исследователь должен процедить (промыть) как можно большее количество воды (грунта) с самых различных биотопов.</w:t>
      </w:r>
    </w:p>
    <w:p w:rsidR="004877CD" w:rsidRDefault="004877CD" w:rsidP="004877C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Количественные пробы показывают  плотность организмов. Без количественных проб невозможно получить важнейшие характеристики сообществ, среди которых — число видов, численность, биомасса, выравненность сообществ, доминирующие виды и группы организмов, трофическая структура, величины индексов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сапробности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 т. д.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лабораторной (камеральной) обработке не следует бояться определения организмов до вида. Хотя это и сложное дело, но именно оно воспитывает наблюдательность, усидчивость, вдумчивость, способность выделять главные признаки.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Алекин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 А. Основы гидрохимии. Л., 1970.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Алексеевский Н. И., Евстигнеев В. М.,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Коронкевич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 Н. И., Ясинский С. В. Малые реки как объект исследования // Малые реки Волжского бассейна. М., 1998.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Антимонов Н. А. Исследования малых рек. Л., 1950.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Водогрецкий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 Е. Антропогенное изменение стока малых рек. Л., 1990.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Дежкин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 В. Поговорим об экологии. М., 1975.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Жизнь пресных вод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/П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од ред. проф. В. И. Жадина и акад. Е. Н. Павловского М.;Л., 1940. Т. 1; 1947. Т. 2; 1950. Т. 3; 1956. Т. 4.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Зенин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 А., Белоусова Н. В. Гидрохимический словарь. Л., 1988.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Колбовский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 Ю., Жихарев А. М. Полевая экология: изучаем малые реки. Ярославль, 2000.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Олексив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 Т. Показатели качества природных вод с экологических позиций. Львов, 1992.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Определитель пресноводных беспозвоночных Европейской части СССР (планктон и бентос). Л., 1977.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Реймерс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Ф. Азбука природы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микроэнциклопедия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биосферы). М., 1980.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Рохмистров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 Л., Наумов С. С. Физико-географические закономерности распределения речной сети Ярославского Нечерноземья / / Географические аспекты рационального природопользования в Верхневолжском Нечерноземье: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Межвуз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сб.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научн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трудов.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206. Ярославль, 1984.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Примечания:</w:t>
      </w:r>
    </w:p>
    <w:bookmarkStart w:id="7" w:name="a_1"/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"http://www.abitu.ru/researcher/methodics/method/Est_napravl/a_150wxp.html" \l "b_1" </w:instrText>
      </w:r>
      <w: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1</w:t>
      </w:r>
      <w:r>
        <w:fldChar w:fldCharType="end"/>
      </w:r>
      <w:bookmarkEnd w:id="7"/>
      <w:r>
        <w:rPr>
          <w:rFonts w:ascii="Times New Roman" w:hAnsi="Times New Roman"/>
          <w:sz w:val="24"/>
          <w:szCs w:val="24"/>
          <w:lang w:eastAsia="ru-RU"/>
        </w:rPr>
        <w:t xml:space="preserve"> Мезенцев. Метод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гидроклиматических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расчетов и опыт его применения для районирования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ЗападноСибирской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равнины по признакам увлажнения и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теплообеспеченностия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/ / 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р. Омского СХИ. Омск, 1957. Т. 27. С. 25-42.</w:t>
      </w:r>
    </w:p>
    <w:bookmarkStart w:id="8" w:name="a_2"/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"http://www.abitu.ru/researcher/methodics/method/Est_napravl/a_150wxp.html" \l "b_2" </w:instrText>
      </w:r>
      <w: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2</w:t>
      </w:r>
      <w:r>
        <w:fldChar w:fldCharType="end"/>
      </w:r>
      <w:bookmarkEnd w:id="8"/>
      <w:r>
        <w:rPr>
          <w:rFonts w:ascii="Times New Roman" w:hAnsi="Times New Roman"/>
          <w:sz w:val="24"/>
          <w:szCs w:val="24"/>
          <w:lang w:eastAsia="ru-RU"/>
        </w:rPr>
        <w:t> Гидрология суши, термины и определения. М., 2007.</w:t>
      </w:r>
    </w:p>
    <w:bookmarkStart w:id="9" w:name="a_3"/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"http://www.abitu.ru/researcher/methodics/method/Est_napravl/a_150wxp.html" \l "b_3" </w:instrText>
      </w:r>
      <w: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3</w:t>
      </w:r>
      <w:r>
        <w:fldChar w:fldCharType="end"/>
      </w:r>
      <w:bookmarkEnd w:id="9"/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Водогрецкий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 Е. Антропогенное изменение стока малых рек. Л., 1990.</w:t>
      </w:r>
    </w:p>
    <w:bookmarkStart w:id="10" w:name="a_4"/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"http://www.abitu.ru/researcher/methodics/method/Est_napravl/a_150wxp.html" \l "b_4" </w:instrText>
      </w:r>
      <w: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4</w:t>
      </w:r>
      <w:r>
        <w:fldChar w:fldCharType="end"/>
      </w:r>
      <w:bookmarkEnd w:id="10"/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Рохмистров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 Л., Наумов С. С.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Физикогеографические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закономерности распределения речной сети Ярославского Нечерноземья // Географические аспекты рационального природопользования в Верхневолжском Нечерноземье: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Межвуз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сб.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научн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трудов.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206. Ярославль, 1984.</w:t>
      </w:r>
    </w:p>
    <w:bookmarkStart w:id="11" w:name="a_5"/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"http://www.abitu.ru/researcher/methodics/method/Est_napravl/a_150wxp.html" \l "b_5" </w:instrText>
      </w:r>
      <w: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5</w:t>
      </w:r>
      <w:r>
        <w:fldChar w:fldCharType="end"/>
      </w:r>
      <w:bookmarkEnd w:id="11"/>
      <w:r>
        <w:rPr>
          <w:rFonts w:ascii="Times New Roman" w:hAnsi="Times New Roman"/>
          <w:sz w:val="24"/>
          <w:szCs w:val="24"/>
          <w:lang w:eastAsia="ru-RU"/>
        </w:rPr>
        <w:t> Антимонов Н. А. Исследования малых рек. Л., 1950.</w:t>
      </w:r>
    </w:p>
    <w:bookmarkStart w:id="12" w:name="a_6"/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"http://www.abitu.ru/researcher/methodics/method/Est_napravl/a_150wxp.html" \l "b_6" </w:instrText>
      </w:r>
      <w: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6</w:t>
      </w:r>
      <w:r>
        <w:fldChar w:fldCharType="end"/>
      </w:r>
      <w:bookmarkEnd w:id="12"/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Алекин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 А. Основы гидрохимии. Л., 1970.</w:t>
      </w:r>
    </w:p>
    <w:bookmarkStart w:id="13" w:name="a_7"/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"http://www.abitu.ru/researcher/methodics/method/Est_napravl/a_150wxp.html" \l "b_7" </w:instrText>
      </w:r>
      <w: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7</w:t>
      </w:r>
      <w:r>
        <w:fldChar w:fldCharType="end"/>
      </w:r>
      <w:bookmarkEnd w:id="13"/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Олексив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 Т. Показатели качества природных вод с экологических позиций. Львов, 1992.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bookmarkStart w:id="14" w:name="_GoBack"/>
      <w:bookmarkEnd w:id="14"/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bookmarkStart w:id="15" w:name="a_8"/>
      <w:r>
        <w:fldChar w:fldCharType="begin"/>
      </w:r>
      <w:r>
        <w:instrText xml:space="preserve"> HYPERLINK "http://www.abitu.ru/researcher/methodics/method/Est_napravl/a_150wxp.html" \l "b_8" </w:instrText>
      </w:r>
      <w:r>
        <w:fldChar w:fldCharType="separate"/>
      </w:r>
      <w:r>
        <w:rPr>
          <w:rStyle w:val="a5"/>
          <w:rFonts w:ascii="Times New Roman" w:hAnsi="Times New Roman"/>
          <w:color w:val="auto"/>
          <w:sz w:val="24"/>
          <w:szCs w:val="24"/>
          <w:vertAlign w:val="superscript"/>
          <w:lang w:eastAsia="ru-RU"/>
        </w:rPr>
        <w:t>8</w:t>
      </w:r>
      <w:r>
        <w:fldChar w:fldCharType="end"/>
      </w:r>
      <w:bookmarkEnd w:id="15"/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Жадин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В. И. Жизнь пресных вод. Т. 4. Ч. 2./Под ред. проф. В. И. Жадина и акад. Е. Н.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Павловского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М.; Л., 1959.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Словарь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стрежня 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медиаль</w:t>
      </w:r>
      <w:proofErr w:type="spellEnd"/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рипаль</w:t>
      </w:r>
      <w:proofErr w:type="spellEnd"/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опалесцирующая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трофические условия</w:t>
      </w:r>
    </w:p>
    <w:p w:rsidR="004877CD" w:rsidRDefault="004877CD" w:rsidP="004877C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сапробность</w:t>
      </w:r>
      <w:proofErr w:type="spellEnd"/>
    </w:p>
    <w:p w:rsidR="009E3292" w:rsidRDefault="009E3292"/>
    <w:sectPr w:rsidR="009E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20F7"/>
    <w:multiLevelType w:val="hybridMultilevel"/>
    <w:tmpl w:val="856E5F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9721D5"/>
    <w:multiLevelType w:val="hybridMultilevel"/>
    <w:tmpl w:val="E0A4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C94250"/>
    <w:multiLevelType w:val="hybridMultilevel"/>
    <w:tmpl w:val="6598E7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C65C42"/>
    <w:multiLevelType w:val="hybridMultilevel"/>
    <w:tmpl w:val="E1AC100A"/>
    <w:lvl w:ilvl="0" w:tplc="45CE4A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AE133B"/>
    <w:multiLevelType w:val="hybridMultilevel"/>
    <w:tmpl w:val="E1AC100A"/>
    <w:lvl w:ilvl="0" w:tplc="45CE4A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CD"/>
    <w:rsid w:val="004877CD"/>
    <w:rsid w:val="009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C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7CD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48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77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7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C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7CD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48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77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7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2013-01-09T09:47:00Z</dcterms:created>
  <dcterms:modified xsi:type="dcterms:W3CDTF">2013-01-09T09:48:00Z</dcterms:modified>
</cp:coreProperties>
</file>