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FF" w:rsidRPr="009167FF" w:rsidRDefault="009167FF" w:rsidP="009167FF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32"/>
          <w:szCs w:val="32"/>
        </w:rPr>
      </w:pPr>
      <w:r w:rsidRPr="009167FF">
        <w:rPr>
          <w:rFonts w:ascii="Arial" w:hAnsi="Arial" w:cs="Arial"/>
          <w:color w:val="424242"/>
          <w:sz w:val="32"/>
          <w:szCs w:val="32"/>
        </w:rPr>
        <w:t xml:space="preserve">На сегодняшний день </w:t>
      </w:r>
      <w:r w:rsidRPr="00C818DB">
        <w:rPr>
          <w:rFonts w:ascii="Arial" w:hAnsi="Arial" w:cs="Arial"/>
          <w:b/>
          <w:color w:val="424242"/>
          <w:sz w:val="32"/>
          <w:szCs w:val="32"/>
        </w:rPr>
        <w:t>в</w:t>
      </w:r>
      <w:bookmarkStart w:id="0" w:name="_GoBack"/>
      <w:r w:rsidRPr="00C818DB">
        <w:rPr>
          <w:rFonts w:ascii="Arial" w:hAnsi="Arial" w:cs="Arial"/>
          <w:b/>
          <w:color w:val="424242"/>
          <w:sz w:val="32"/>
          <w:szCs w:val="32"/>
        </w:rPr>
        <w:t xml:space="preserve"> </w:t>
      </w:r>
      <w:bookmarkEnd w:id="0"/>
      <w:r w:rsidRPr="00C818DB">
        <w:rPr>
          <w:rFonts w:ascii="Arial" w:hAnsi="Arial" w:cs="Arial"/>
          <w:b/>
          <w:color w:val="424242"/>
          <w:sz w:val="32"/>
          <w:szCs w:val="32"/>
        </w:rPr>
        <w:t>2014 году</w:t>
      </w:r>
      <w:r w:rsidRPr="009167FF">
        <w:rPr>
          <w:rFonts w:ascii="Arial" w:hAnsi="Arial" w:cs="Arial"/>
          <w:color w:val="424242"/>
          <w:sz w:val="32"/>
          <w:szCs w:val="32"/>
        </w:rPr>
        <w:t xml:space="preserve"> количество данных стран равняется 27 государствам, каждое их которых высокоразвитое и независимое. А как же все начиналось, когда список стран</w:t>
      </w:r>
      <w:r w:rsidRPr="009167FF">
        <w:rPr>
          <w:rStyle w:val="apple-converted-space"/>
          <w:rFonts w:ascii="Arial" w:eastAsiaTheme="majorEastAsia" w:hAnsi="Arial" w:cs="Arial"/>
          <w:color w:val="424242"/>
          <w:sz w:val="32"/>
          <w:szCs w:val="32"/>
        </w:rPr>
        <w:t> </w:t>
      </w:r>
      <w:r w:rsidRPr="009167FF">
        <w:rPr>
          <w:rStyle w:val="a7"/>
          <w:rFonts w:ascii="Arial" w:hAnsi="Arial" w:cs="Arial"/>
          <w:color w:val="424242"/>
          <w:sz w:val="32"/>
          <w:szCs w:val="32"/>
        </w:rPr>
        <w:t>Европейского Союза</w:t>
      </w:r>
      <w:r w:rsidRPr="009167FF">
        <w:rPr>
          <w:rFonts w:ascii="Arial" w:hAnsi="Arial" w:cs="Arial"/>
          <w:color w:val="424242"/>
          <w:sz w:val="32"/>
          <w:szCs w:val="32"/>
        </w:rPr>
        <w:t> состоял лишь из 5 элементов?</w:t>
      </w:r>
    </w:p>
    <w:p w:rsidR="00C818DB" w:rsidRDefault="009167FF" w:rsidP="00C818DB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32"/>
          <w:szCs w:val="32"/>
        </w:rPr>
      </w:pPr>
      <w:r w:rsidRPr="009167FF">
        <w:rPr>
          <w:rFonts w:ascii="Arial" w:hAnsi="Arial" w:cs="Arial"/>
          <w:color w:val="424242"/>
          <w:sz w:val="32"/>
          <w:szCs w:val="32"/>
        </w:rPr>
        <w:t>В развитие европейской интеграции легло несколько объединений, все начиналось со времен Второй Мировой Войны. Сначала эти союзы преследовали достижение экономических темпов роста и развития, экономической стабильности. После преодоления наиболее сложного момента</w:t>
      </w:r>
      <w:r w:rsidRPr="009167FF">
        <w:rPr>
          <w:rStyle w:val="apple-converted-space"/>
          <w:rFonts w:ascii="Arial" w:eastAsiaTheme="majorEastAsia" w:hAnsi="Arial" w:cs="Arial"/>
          <w:color w:val="424242"/>
          <w:sz w:val="32"/>
          <w:szCs w:val="32"/>
        </w:rPr>
        <w:t> </w:t>
      </w:r>
      <w:hyperlink r:id="rId6" w:tooltip="весь список стран" w:history="1">
        <w:r w:rsidRPr="009167FF">
          <w:rPr>
            <w:rStyle w:val="ae"/>
            <w:rFonts w:ascii="Arial" w:eastAsiaTheme="majorEastAsia" w:hAnsi="Arial" w:cs="Arial"/>
            <w:sz w:val="32"/>
            <w:szCs w:val="32"/>
          </w:rPr>
          <w:t>весь список стран</w:t>
        </w:r>
      </w:hyperlink>
      <w:r w:rsidRPr="009167FF">
        <w:rPr>
          <w:rStyle w:val="apple-converted-space"/>
          <w:rFonts w:ascii="Arial" w:eastAsiaTheme="majorEastAsia" w:hAnsi="Arial" w:cs="Arial"/>
          <w:color w:val="424242"/>
          <w:sz w:val="32"/>
          <w:szCs w:val="32"/>
        </w:rPr>
        <w:t> </w:t>
      </w:r>
      <w:r w:rsidRPr="009167FF">
        <w:rPr>
          <w:rFonts w:ascii="Arial" w:hAnsi="Arial" w:cs="Arial"/>
          <w:color w:val="424242"/>
          <w:sz w:val="32"/>
          <w:szCs w:val="32"/>
        </w:rPr>
        <w:t xml:space="preserve">Европейского Союза стал стремиться к духовным, культурным и интеллектуальным ценностям. Точкой отсчета стал </w:t>
      </w:r>
      <w:r w:rsidRPr="00C818DB">
        <w:rPr>
          <w:rFonts w:ascii="Arial" w:hAnsi="Arial" w:cs="Arial"/>
          <w:b/>
          <w:color w:val="424242"/>
          <w:sz w:val="32"/>
          <w:szCs w:val="32"/>
        </w:rPr>
        <w:t>1951 год</w:t>
      </w:r>
      <w:r w:rsidRPr="009167FF">
        <w:rPr>
          <w:rFonts w:ascii="Arial" w:hAnsi="Arial" w:cs="Arial"/>
          <w:color w:val="424242"/>
          <w:sz w:val="32"/>
          <w:szCs w:val="32"/>
        </w:rPr>
        <w:t>, именно тогда было создано объединение угля и стали.</w:t>
      </w:r>
    </w:p>
    <w:p w:rsidR="00C818DB" w:rsidRPr="00C818DB" w:rsidRDefault="00C818DB" w:rsidP="00C818DB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32"/>
          <w:szCs w:val="32"/>
        </w:rPr>
      </w:pPr>
      <w:r w:rsidRPr="00C818DB">
        <w:rPr>
          <w:rFonts w:ascii="Arial" w:hAnsi="Arial" w:cs="Arial"/>
          <w:b/>
          <w:bCs/>
          <w:color w:val="424242"/>
          <w:sz w:val="32"/>
          <w:szCs w:val="32"/>
        </w:rPr>
        <w:t xml:space="preserve"> </w:t>
      </w:r>
      <w:r w:rsidRPr="00C818DB">
        <w:rPr>
          <w:rFonts w:ascii="Arial" w:hAnsi="Arial" w:cs="Arial"/>
          <w:b/>
          <w:bCs/>
          <w:color w:val="424242"/>
          <w:sz w:val="32"/>
          <w:szCs w:val="32"/>
        </w:rPr>
        <w:t>Австрия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Бельгия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Болгария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Великобритания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Венгрия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Германия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Греция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Дания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Ирландия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Испания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Италия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Кипр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Латвия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Литва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Люксембург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Мальта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Нидерланды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Польша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Португалия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Румыния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Словакия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Словения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Финляндия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Франция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Чехия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lastRenderedPageBreak/>
        <w:t>Швеция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32"/>
          <w:szCs w:val="32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2"/>
          <w:szCs w:val="32"/>
          <w:lang w:eastAsia="ru-RU"/>
        </w:rPr>
        <w:t>Эстония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18"/>
          <w:szCs w:val="18"/>
          <w:lang w:eastAsia="ru-RU"/>
        </w:rPr>
      </w:pPr>
      <w:r w:rsidRPr="00C818DB">
        <w:rPr>
          <w:rFonts w:ascii="Arial" w:eastAsia="Times New Roman" w:hAnsi="Arial" w:cs="Arial"/>
          <w:color w:val="424242"/>
          <w:sz w:val="18"/>
          <w:szCs w:val="18"/>
          <w:lang w:eastAsia="ru-RU"/>
        </w:rPr>
        <w:t> 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b/>
          <w:bCs/>
          <w:color w:val="424242"/>
          <w:sz w:val="36"/>
          <w:szCs w:val="36"/>
          <w:lang w:eastAsia="ru-RU"/>
        </w:rPr>
        <w:t>1985 год стал памятным началом нашей современности</w:t>
      </w:r>
      <w:r w:rsidRPr="00C818DB">
        <w:rPr>
          <w:rFonts w:ascii="Arial" w:eastAsia="Times New Roman" w:hAnsi="Arial" w:cs="Arial"/>
          <w:color w:val="424242"/>
          <w:sz w:val="36"/>
          <w:szCs w:val="36"/>
          <w:lang w:eastAsia="ru-RU"/>
        </w:rPr>
        <w:t xml:space="preserve">, именно в этом году в небольшом городке </w:t>
      </w:r>
      <w:r w:rsidRPr="00C818DB">
        <w:rPr>
          <w:rFonts w:ascii="Arial" w:eastAsia="Times New Roman" w:hAnsi="Arial" w:cs="Arial"/>
          <w:b/>
          <w:color w:val="424242"/>
          <w:sz w:val="36"/>
          <w:szCs w:val="36"/>
          <w:lang w:eastAsia="ru-RU"/>
        </w:rPr>
        <w:t>Шенген</w:t>
      </w:r>
      <w:r w:rsidRPr="00C818DB">
        <w:rPr>
          <w:rFonts w:ascii="Arial" w:eastAsia="Times New Roman" w:hAnsi="Arial" w:cs="Arial"/>
          <w:color w:val="424242"/>
          <w:sz w:val="18"/>
          <w:szCs w:val="18"/>
          <w:lang w:eastAsia="ru-RU"/>
        </w:rPr>
        <w:t xml:space="preserve"> и </w:t>
      </w: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было создано, а затем подписано Шенгенское соглашение. На тот момент составляющими этого объединения были лишь 5 государств: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b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b/>
          <w:color w:val="424242"/>
          <w:sz w:val="40"/>
          <w:szCs w:val="40"/>
          <w:lang w:eastAsia="ru-RU"/>
        </w:rPr>
        <w:t>Германия, Франция, Нидерланды, Бельгия, Люксембург.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 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Хочется отметить, что и по сей день именно эта пятерка остается наиболее влиятельной. Давайте перечислим оставшийся список стран Европейского Союза, насчитывающий еще 22 стран.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 </w:t>
      </w:r>
    </w:p>
    <w:p w:rsidR="00C818DB" w:rsidRPr="00C818DB" w:rsidRDefault="00C818DB" w:rsidP="00C818DB">
      <w:pPr>
        <w:shd w:val="clear" w:color="auto" w:fill="FFFFFF"/>
        <w:spacing w:after="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Следующим этапом было принятие Италии в 1957 году, </w:t>
      </w:r>
      <w:r w:rsidRPr="00C818DB">
        <w:rPr>
          <w:rFonts w:ascii="Arial" w:eastAsia="Times New Roman" w:hAnsi="Arial" w:cs="Arial"/>
          <w:b/>
          <w:bCs/>
          <w:color w:val="424242"/>
          <w:sz w:val="40"/>
          <w:szCs w:val="40"/>
          <w:lang w:eastAsia="ru-RU"/>
        </w:rPr>
        <w:t>за ней в объединение вошли</w:t>
      </w: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 сразу Великобритания, Дания и Ирландия, событие датируется 1973 годом. В 1981 году была принята Греция, а уже через пять лет, в 1986 году, Португалия и Испания.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 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 xml:space="preserve">1995 год стал особенным для Финляндии и Швеции, как раз в этом году они пополнили список стран Европейского Союза. Следующие события развивались уже в новом тысячелетии. 2004 года стал особенно «урожайным» ведь европейскими во всех отношениях еще стало 10 </w:t>
      </w: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lastRenderedPageBreak/>
        <w:t xml:space="preserve">государств: </w:t>
      </w:r>
      <w:proofErr w:type="gramStart"/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Венгрия, Латвия, Кипр, Литва, Эстония, Мальта, Словакия, Польша, Чехия и Словения.</w:t>
      </w:r>
      <w:proofErr w:type="gramEnd"/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 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На сегодняшний день завершающим периодом интеграции стал 2007 год, когда в список стран Европейского Союза еще было добавлено 2 государства: Болгария и Румыния.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 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Итак, общее перечисление по порядку вхождения в объединение:</w:t>
      </w:r>
    </w:p>
    <w:p w:rsidR="00C818DB" w:rsidRPr="00C818DB" w:rsidRDefault="00C818DB" w:rsidP="00C818DB">
      <w:pPr>
        <w:shd w:val="clear" w:color="auto" w:fill="FFFFFF"/>
        <w:spacing w:after="90"/>
        <w:rPr>
          <w:rFonts w:ascii="Arial" w:eastAsia="Times New Roman" w:hAnsi="Arial" w:cs="Arial"/>
          <w:color w:val="424242"/>
          <w:sz w:val="40"/>
          <w:szCs w:val="40"/>
          <w:lang w:eastAsia="ru-RU"/>
        </w:rPr>
      </w:pPr>
      <w:proofErr w:type="gramStart"/>
      <w:r w:rsidRPr="00C818DB">
        <w:rPr>
          <w:rFonts w:ascii="Arial" w:eastAsia="Times New Roman" w:hAnsi="Arial" w:cs="Arial"/>
          <w:color w:val="424242"/>
          <w:sz w:val="40"/>
          <w:szCs w:val="40"/>
          <w:lang w:eastAsia="ru-RU"/>
        </w:rPr>
        <w:t>Германия, Франция, Нидерланды, Бельгия, Люксембург, Великобритания, Дания, Ирландия, Греция, Португалия, Испания, Финляндия, Швеция, Венгрия, Латвия, Кипр, Литва, Эстония, Мальта, Словакия, Польша, Чехия, Словения, Болгария и Рум</w:t>
      </w:r>
      <w:r>
        <w:rPr>
          <w:rFonts w:ascii="Arial" w:eastAsia="Times New Roman" w:hAnsi="Arial" w:cs="Arial"/>
          <w:color w:val="424242"/>
          <w:sz w:val="40"/>
          <w:szCs w:val="40"/>
          <w:lang w:eastAsia="ru-RU"/>
        </w:rPr>
        <w:t>ыния.</w:t>
      </w:r>
      <w:proofErr w:type="gramEnd"/>
    </w:p>
    <w:p w:rsidR="009167FF" w:rsidRPr="009167FF" w:rsidRDefault="009167FF" w:rsidP="009167FF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424242"/>
          <w:sz w:val="32"/>
          <w:szCs w:val="32"/>
        </w:rPr>
      </w:pPr>
    </w:p>
    <w:p w:rsidR="00B0435C" w:rsidRPr="009167FF" w:rsidRDefault="00B0435C">
      <w:pPr>
        <w:rPr>
          <w:sz w:val="32"/>
          <w:szCs w:val="32"/>
        </w:rPr>
      </w:pPr>
    </w:p>
    <w:sectPr w:rsidR="00B0435C" w:rsidRPr="0091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EC8"/>
    <w:multiLevelType w:val="multilevel"/>
    <w:tmpl w:val="599C09F4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-993" w:firstLine="0"/>
      </w:pPr>
    </w:lvl>
    <w:lvl w:ilvl="2">
      <w:start w:val="1"/>
      <w:numFmt w:val="lowerLetter"/>
      <w:pStyle w:val="3"/>
      <w:lvlText w:val="(%3)"/>
      <w:lvlJc w:val="left"/>
      <w:pPr>
        <w:ind w:left="-273" w:hanging="432"/>
      </w:pPr>
    </w:lvl>
    <w:lvl w:ilvl="3">
      <w:start w:val="1"/>
      <w:numFmt w:val="lowerRoman"/>
      <w:pStyle w:val="4"/>
      <w:lvlText w:val="(%4)"/>
      <w:lvlJc w:val="right"/>
      <w:pPr>
        <w:ind w:left="-129" w:hanging="144"/>
      </w:pPr>
    </w:lvl>
    <w:lvl w:ilvl="4">
      <w:start w:val="1"/>
      <w:numFmt w:val="decimal"/>
      <w:pStyle w:val="5"/>
      <w:lvlText w:val="%5)"/>
      <w:lvlJc w:val="left"/>
      <w:pPr>
        <w:ind w:left="15" w:hanging="432"/>
      </w:pPr>
    </w:lvl>
    <w:lvl w:ilvl="5">
      <w:start w:val="1"/>
      <w:numFmt w:val="lowerLetter"/>
      <w:pStyle w:val="6"/>
      <w:lvlText w:val="%6)"/>
      <w:lvlJc w:val="left"/>
      <w:pPr>
        <w:ind w:left="159" w:hanging="432"/>
      </w:pPr>
    </w:lvl>
    <w:lvl w:ilvl="6">
      <w:start w:val="1"/>
      <w:numFmt w:val="lowerRoman"/>
      <w:pStyle w:val="7"/>
      <w:lvlText w:val="%7)"/>
      <w:lvlJc w:val="right"/>
      <w:pPr>
        <w:ind w:left="303" w:hanging="288"/>
      </w:pPr>
    </w:lvl>
    <w:lvl w:ilvl="7">
      <w:start w:val="1"/>
      <w:numFmt w:val="lowerLetter"/>
      <w:pStyle w:val="8"/>
      <w:lvlText w:val="%8."/>
      <w:lvlJc w:val="left"/>
      <w:pPr>
        <w:ind w:left="447" w:hanging="432"/>
      </w:pPr>
    </w:lvl>
    <w:lvl w:ilvl="8">
      <w:start w:val="1"/>
      <w:numFmt w:val="lowerRoman"/>
      <w:lvlText w:val="%9."/>
      <w:lvlJc w:val="right"/>
      <w:pPr>
        <w:ind w:left="591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6C"/>
    <w:rsid w:val="009167FF"/>
    <w:rsid w:val="009F4516"/>
    <w:rsid w:val="00AB5A4C"/>
    <w:rsid w:val="00B0435C"/>
    <w:rsid w:val="00C818DB"/>
    <w:rsid w:val="00D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C"/>
  </w:style>
  <w:style w:type="paragraph" w:styleId="1">
    <w:name w:val="heading 1"/>
    <w:basedOn w:val="a"/>
    <w:next w:val="a"/>
    <w:link w:val="10"/>
    <w:uiPriority w:val="9"/>
    <w:qFormat/>
    <w:rsid w:val="00AB5A4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A4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5A4C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5A4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5A4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5A4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5A4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5A4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5A4C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5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5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5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B5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5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5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B5A4C"/>
    <w:rPr>
      <w:b/>
      <w:bCs/>
    </w:rPr>
  </w:style>
  <w:style w:type="character" w:styleId="a8">
    <w:name w:val="Emphasis"/>
    <w:basedOn w:val="a0"/>
    <w:uiPriority w:val="20"/>
    <w:qFormat/>
    <w:rsid w:val="00AB5A4C"/>
    <w:rPr>
      <w:i/>
      <w:iCs/>
    </w:rPr>
  </w:style>
  <w:style w:type="paragraph" w:styleId="a9">
    <w:name w:val="No Spacing"/>
    <w:uiPriority w:val="1"/>
    <w:qFormat/>
    <w:rsid w:val="00AB5A4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AB5A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5A4C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B5A4C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B5A4C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AB5A4C"/>
    <w:rPr>
      <w:b/>
      <w:bCs/>
      <w:smallCaps/>
      <w:color w:val="C0504D" w:themeColor="accent2"/>
      <w:spacing w:val="5"/>
      <w:u w:val="single"/>
    </w:rPr>
  </w:style>
  <w:style w:type="paragraph" w:styleId="ad">
    <w:name w:val="Normal (Web)"/>
    <w:basedOn w:val="a"/>
    <w:uiPriority w:val="99"/>
    <w:semiHidden/>
    <w:unhideWhenUsed/>
    <w:rsid w:val="0091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7FF"/>
  </w:style>
  <w:style w:type="character" w:styleId="ae">
    <w:name w:val="Hyperlink"/>
    <w:basedOn w:val="a0"/>
    <w:uiPriority w:val="99"/>
    <w:semiHidden/>
    <w:unhideWhenUsed/>
    <w:rsid w:val="00916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C"/>
  </w:style>
  <w:style w:type="paragraph" w:styleId="1">
    <w:name w:val="heading 1"/>
    <w:basedOn w:val="a"/>
    <w:next w:val="a"/>
    <w:link w:val="10"/>
    <w:uiPriority w:val="9"/>
    <w:qFormat/>
    <w:rsid w:val="00AB5A4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A4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5A4C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5A4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B5A4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B5A4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B5A4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B5A4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B5A4C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5A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5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5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5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5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B5A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5A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B5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B5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B5A4C"/>
    <w:rPr>
      <w:b/>
      <w:bCs/>
    </w:rPr>
  </w:style>
  <w:style w:type="character" w:styleId="a8">
    <w:name w:val="Emphasis"/>
    <w:basedOn w:val="a0"/>
    <w:uiPriority w:val="20"/>
    <w:qFormat/>
    <w:rsid w:val="00AB5A4C"/>
    <w:rPr>
      <w:i/>
      <w:iCs/>
    </w:rPr>
  </w:style>
  <w:style w:type="paragraph" w:styleId="a9">
    <w:name w:val="No Spacing"/>
    <w:uiPriority w:val="1"/>
    <w:qFormat/>
    <w:rsid w:val="00AB5A4C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AB5A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5A4C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B5A4C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B5A4C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AB5A4C"/>
    <w:rPr>
      <w:b/>
      <w:bCs/>
      <w:smallCaps/>
      <w:color w:val="C0504D" w:themeColor="accent2"/>
      <w:spacing w:val="5"/>
      <w:u w:val="single"/>
    </w:rPr>
  </w:style>
  <w:style w:type="paragraph" w:styleId="ad">
    <w:name w:val="Normal (Web)"/>
    <w:basedOn w:val="a"/>
    <w:uiPriority w:val="99"/>
    <w:semiHidden/>
    <w:unhideWhenUsed/>
    <w:rsid w:val="0091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7FF"/>
  </w:style>
  <w:style w:type="character" w:styleId="ae">
    <w:name w:val="Hyperlink"/>
    <w:basedOn w:val="a0"/>
    <w:uiPriority w:val="99"/>
    <w:semiHidden/>
    <w:unhideWhenUsed/>
    <w:rsid w:val="00916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80aaebb0agfy5e0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2014-06-18T17:35:00Z</dcterms:created>
  <dcterms:modified xsi:type="dcterms:W3CDTF">2014-06-18T17:38:00Z</dcterms:modified>
</cp:coreProperties>
</file>