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29" w:rsidRPr="006A4A29" w:rsidRDefault="006A4A29" w:rsidP="00411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A29">
        <w:rPr>
          <w:rFonts w:ascii="Times New Roman" w:hAnsi="Times New Roman" w:cs="Times New Roman"/>
          <w:sz w:val="28"/>
          <w:szCs w:val="28"/>
        </w:rPr>
        <w:t>Методическая разработка урока географии в 8 классе по теме: «Экологические проблемы и охрана природы Тульской области».</w:t>
      </w:r>
    </w:p>
    <w:p w:rsidR="006A4A29" w:rsidRPr="006A4A29" w:rsidRDefault="006A4A29" w:rsidP="006A4A2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A29">
        <w:rPr>
          <w:rFonts w:ascii="Times New Roman" w:hAnsi="Times New Roman" w:cs="Times New Roman"/>
          <w:i/>
          <w:sz w:val="24"/>
          <w:szCs w:val="24"/>
        </w:rPr>
        <w:t>Автор: Макарова Антонина Федоровна,</w:t>
      </w:r>
    </w:p>
    <w:p w:rsidR="006A4A29" w:rsidRPr="006A4A29" w:rsidRDefault="006A4A29" w:rsidP="006A4A2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A29">
        <w:rPr>
          <w:rFonts w:ascii="Times New Roman" w:hAnsi="Times New Roman" w:cs="Times New Roman"/>
          <w:i/>
          <w:sz w:val="24"/>
          <w:szCs w:val="24"/>
        </w:rPr>
        <w:t xml:space="preserve"> учитель географии МБОУСОШ №19</w:t>
      </w:r>
    </w:p>
    <w:p w:rsidR="006A4A29" w:rsidRPr="006A4A29" w:rsidRDefault="006A4A29" w:rsidP="006A4A2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A29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6A4A29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6A4A29">
        <w:rPr>
          <w:rFonts w:ascii="Times New Roman" w:hAnsi="Times New Roman" w:cs="Times New Roman"/>
          <w:i/>
          <w:sz w:val="24"/>
          <w:szCs w:val="24"/>
        </w:rPr>
        <w:t>улы</w:t>
      </w:r>
    </w:p>
    <w:p w:rsidR="006A4A29" w:rsidRDefault="006A4A29" w:rsidP="006A4A2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A29" w:rsidRDefault="006A4A29" w:rsidP="006A4A2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«Экологические проблемы и охрана природы Тульской области».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Цель: сформировать представление об экологических проблемах и охране природы Тульской области.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A4A29" w:rsidRDefault="006A4A29" w:rsidP="006A4A29">
      <w:pPr>
        <w:pStyle w:val="a3"/>
        <w:numPr>
          <w:ilvl w:val="0"/>
          <w:numId w:val="1"/>
        </w:numPr>
        <w:spacing w:before="100" w:beforeAutospacing="1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образовательные: </w:t>
      </w:r>
      <w:r>
        <w:rPr>
          <w:rFonts w:ascii="Times New Roman" w:eastAsia="Calibri" w:hAnsi="Times New Roman" w:cs="Times New Roman"/>
          <w:sz w:val="24"/>
          <w:szCs w:val="24"/>
        </w:rPr>
        <w:t>проанализировать экологическую обстановку в Тульской области;</w:t>
      </w:r>
      <w:proofErr w:type="gramEnd"/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выявить факторы, влияющие на состояние окружающей среды; 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выяснить, какие меры проводятся по охране природы в Тульской области;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-составить прогноз состояния окружающей среды.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2) развивающие: </w:t>
      </w:r>
      <w:r>
        <w:rPr>
          <w:rFonts w:ascii="Times New Roman" w:hAnsi="Times New Roman" w:cs="Times New Roman"/>
          <w:sz w:val="24"/>
          <w:szCs w:val="24"/>
        </w:rPr>
        <w:t>развивать ключевые компетенции на основе использования критического мышления и коллективной мыслительной деятельности.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3) воспитывающие: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патриотическому,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геоэкологическому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воспитанию школьников; по формированию чувства коллективизма, ответственности за порученное дело.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eastAsia="Calibri" w:hAnsi="Times New Roman" w:cs="Times New Roman"/>
          <w:sz w:val="24"/>
          <w:szCs w:val="24"/>
        </w:rPr>
        <w:t>экологические карты Тульской области, учебные материалы по географии Тульской области 8-9 класс (УМ), Горбунов Е.Л. «Физическая география Тульской области», материалы полевых исследований и презентаций.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Тип урока, продолжительность: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научно-практическая конференция, 45 минут.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1.Организационный момент.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Учащиеся рассаживаются по группам: климатологи, гидрологи, почвоведы,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геологогеоморфологи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биологи,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ландшафтоведы-экологи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На партах лежат программы конференции, учебные принадлежности и рабочие материалы по географии Тульской области.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2.Начало конференции. 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Вступительное слово учителя.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-2013 год был объявлен в России годом экологической культуры и охраны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проблема взаимодействия природы и человека приобретает особую актуальность.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Сформировать представление об экологических проблемах и охране природы Тульской области нам поможет конференция </w:t>
      </w:r>
      <w:r>
        <w:rPr>
          <w:rFonts w:ascii="Times New Roman" w:hAnsi="Times New Roman" w:cs="Times New Roman"/>
          <w:sz w:val="24"/>
          <w:szCs w:val="24"/>
        </w:rPr>
        <w:t>на тему: «Экологические проблемы и охрана природы Тульской области».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Эпиграфом я взяла слова Р.Рождественского.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«Все от природы,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что взамен?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Кромсаем лед, меняем рек теченье,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Твердим о том, что дел 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впроворот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 мы еще придем просить прощенье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этих рек, барханов и болот,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самого гигантского восхода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самого мельчайшего малька…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 об этом думать неохота,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Сейчас нам не до этого пока.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Аэродромы, стройки и заводы,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Леса без птиц и земли без воды,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меньше окружающей природы, 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больше окружающей среды».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-Тульская область вошла в десятку самых худших регионов России в экологическом рейтинге регионов по итогам 2013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года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случайно, вопросы охраны окружающей среды видятся в числе самых приоритетных направлений территориального развития региона.</w:t>
      </w:r>
    </w:p>
    <w:p w:rsidR="006A4A29" w:rsidRDefault="006A4A29" w:rsidP="006A4A29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Как вы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какие экологические проблемы характерны для Тульской области?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(Работа с интерактивным оборудованием.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Составление схемы «Экологические проблемы Тульской области».)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4A29" w:rsidRDefault="008871CF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71CF">
        <w:rPr>
          <w:rFonts w:ascii="Times New Roman" w:hAnsi="Times New Roman" w:cs="Times New Roman"/>
          <w:sz w:val="24"/>
          <w:szCs w:val="24"/>
        </w:rPr>
      </w:r>
      <w:r w:rsidRPr="008871CF">
        <w:rPr>
          <w:rFonts w:ascii="Times New Roman" w:hAnsi="Times New Roman" w:cs="Times New Roman"/>
          <w:sz w:val="24"/>
          <w:szCs w:val="24"/>
        </w:rPr>
        <w:pict>
          <v:group id="_x0000_s1026" editas="canvas" style="width:459pt;height:279pt;mso-position-horizontal-relative:char;mso-position-vertical-relative:line" coordorigin="2281,582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826;width:7200;height:4320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540;top:7638;width:2823;height:836">
              <v:textbox style="mso-next-textbox:#_x0000_s1028">
                <w:txbxContent>
                  <w:p w:rsidR="006A4A29" w:rsidRDefault="006A4A29" w:rsidP="006A4A2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Экологические проблемы Тульской области.</w:t>
                    </w:r>
                  </w:p>
                </w:txbxContent>
              </v:textbox>
            </v:shape>
            <v:oval id="_x0000_s1029" style="position:absolute;left:2366;top:6196;width:1864;height:1115">
              <v:textbox style="mso-next-textbox:#_x0000_s1029">
                <w:txbxContent>
                  <w:p w:rsidR="006A4A29" w:rsidRDefault="006A4A29" w:rsidP="006A4A29">
                    <w:pPr>
                      <w:jc w:val="center"/>
                    </w:pPr>
                    <w:r>
                      <w:t>Загрязнение атмосферы</w:t>
                    </w:r>
                  </w:p>
                </w:txbxContent>
              </v:textbox>
            </v:oval>
            <v:oval id="_x0000_s1030" style="position:absolute;left:7529;top:6359;width:1659;height:1115">
              <v:textbox style="mso-next-textbox:#_x0000_s1030">
                <w:txbxContent>
                  <w:p w:rsidR="006A4A29" w:rsidRDefault="006A4A29" w:rsidP="006A4A29">
                    <w:pPr>
                      <w:jc w:val="center"/>
                    </w:pPr>
                    <w:r>
                      <w:t>Истощение  почв</w:t>
                    </w:r>
                  </w:p>
                </w:txbxContent>
              </v:textbox>
            </v:oval>
            <v:oval id="_x0000_s1031" style="position:absolute;left:2458;top:8680;width:1839;height:1114">
              <v:textbox style="mso-next-textbox:#_x0000_s1031">
                <w:txbxContent>
                  <w:p w:rsidR="006A4A29" w:rsidRDefault="006A4A29" w:rsidP="006A4A29">
                    <w:pPr>
                      <w:jc w:val="center"/>
                    </w:pPr>
                    <w:r>
                      <w:t>Сокращение видов растений</w:t>
                    </w:r>
                  </w:p>
                </w:txbxContent>
              </v:textbox>
            </v:oval>
            <v:oval id="_x0000_s1032" style="position:absolute;left:5031;top:6010;width:1669;height:1115">
              <v:textbox style="mso-next-textbox:#_x0000_s1032">
                <w:txbxContent>
                  <w:p w:rsidR="006A4A29" w:rsidRDefault="006A4A29" w:rsidP="006A4A29">
                    <w:pPr>
                      <w:jc w:val="center"/>
                    </w:pPr>
                    <w:r>
                      <w:t>Загрязнение вод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3592;top:7311;width:948;height:490;flip:x y" o:connectortype="straight">
              <v:stroke endarrow="block"/>
            </v:shape>
            <v:shape id="_x0000_s1034" type="#_x0000_t32" style="position:absolute;left:5924;top:7125;width:2;height:414;flip:y" o:connectortype="straight">
              <v:stroke endarrow="block"/>
            </v:shape>
            <v:oval id="_x0000_s1035" style="position:absolute;left:7529;top:8678;width:1864;height:1116">
              <v:textbox style="mso-next-textbox:#_x0000_s1035">
                <w:txbxContent>
                  <w:p w:rsidR="006A4A29" w:rsidRDefault="006A4A29" w:rsidP="006A4A29">
                    <w:pPr>
                      <w:jc w:val="center"/>
                    </w:pPr>
                    <w:r>
                      <w:t>Сокращение видов животных</w:t>
                    </w:r>
                  </w:p>
                </w:txbxContent>
              </v:textbox>
            </v:oval>
            <v:shape id="_x0000_s1036" type="#_x0000_t32" style="position:absolute;left:4297;top:8474;width:408;height:662;flip:x" o:connectortype="straight">
              <v:stroke endarrow="block"/>
            </v:shape>
            <v:shape id="_x0000_s1037" type="#_x0000_t32" style="position:absolute;left:7363;top:7125;width:513;height:745;flip:y" o:connectortype="straight">
              <v:stroke endarrow="block"/>
            </v:shape>
            <v:shape id="_x0000_s1038" type="#_x0000_t32" style="position:absolute;left:7198;top:8490;width:331;height:646" o:connectortype="straight">
              <v:stroke endarrow="block"/>
            </v:shape>
            <w10:wrap type="none"/>
            <w10:anchorlock/>
          </v:group>
        </w:pict>
      </w:r>
    </w:p>
    <w:p w:rsidR="006A4A29" w:rsidRDefault="006A4A29" w:rsidP="006A4A29">
      <w:pPr>
        <w:spacing w:before="100" w:beforeAutospacing="1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A29" w:rsidRDefault="006A4A29" w:rsidP="006A4A29">
      <w:pPr>
        <w:spacing w:before="100" w:beforeAutospacing="1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3.Основная часть конференции.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Сегодня на уроке мы проведем экологическую экспертизу Тульской области по направлениям: оценка состояния атмосферного воздуха, качества состояния поверхностных и подземных вод, почвы, растительного и животного мира.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Нам необходимо руководствоваться критериями оценки: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Экологическое равновесие </w:t>
      </w:r>
      <w:r>
        <w:rPr>
          <w:rFonts w:ascii="Times New Roman" w:eastAsia="Calibri" w:hAnsi="Times New Roman" w:cs="Times New Roman"/>
          <w:sz w:val="24"/>
          <w:szCs w:val="24"/>
        </w:rPr>
        <w:t>- это такое состояние системы «общество – природа», когда при рациональной хозяйственной деятельности сохраняются естественные условия жизни людей.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Экологический кризис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экологическое неблагополучие, характеризующееся устойчивыми отрицательными изменениями окружающей среды, и представляющее угрозу для здоровья людей. Это напряженное состояние взаимоотношений между человечеством и природой, обусловленное несоответствием размеров производственно-хозяйственной деятельности человека ресурсно-экологическим возможностям биосферы. Экологический кризис характеризуется не столько усилением воздействия человека на природу, сколько резким увеличением влияния измененной людьми природы на общественное развитие.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Экологическая катастрофа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экологическое неблагополучие, характеризующееся глубокими необратимыми изменениями окружающей среды и существенным ухудшением здоровья населения. Это природная  аномалия, нередко возникающая на основе прямого или косвенного воздействия человеческой деятельности на природные процессы и ведущая 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остронеблагоприятным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экономическим последствиям или массовой гибели населения определенного региона.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Работа проводится в группах: климатологи, гидрологи, почвоведы,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геологогеоморфологи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биологи,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ландшафтоведы-экологи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При подготовке к конференции учащиеся подробно проанализировали доклад министерства природных ресурсов и экологии Тульской области «Об экологической ситуации в Тульской области за 2013 год», </w:t>
      </w: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учебные материалы по географии Тульской области 8-9 класс,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/>
          <w:sz w:val="24"/>
          <w:szCs w:val="24"/>
        </w:rPr>
        <w:t>использовали сведения из учебного пособия Горбунова Е.Л. «Физическая география Тульской области», проработали карточки - задания  и представили аргументированную оценку качества отдельных компонентов природной среды Тульской области.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На конференции  от каждой группы с кратким сообщением  о выявленных проблемах выступают учащиеся, иллюстрируя примерами, картами, схемами.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Проводится обсуждение.)</w:t>
      </w:r>
      <w:proofErr w:type="gramEnd"/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Климатологи. «Экологическая экспертиза воздушного бассейна».</w:t>
      </w:r>
    </w:p>
    <w:p w:rsidR="006A4A29" w:rsidRDefault="006A4A29" w:rsidP="006A4A29">
      <w:pPr>
        <w:pStyle w:val="Default"/>
        <w:spacing w:before="100" w:beforeAutospacing="1"/>
        <w:ind w:firstLine="708"/>
        <w:rPr>
          <w:b/>
        </w:rPr>
      </w:pPr>
      <w:r>
        <w:rPr>
          <w:b/>
        </w:rPr>
        <w:t>Карточка – задание №1.</w:t>
      </w:r>
    </w:p>
    <w:p w:rsidR="006A4A29" w:rsidRDefault="006A4A29" w:rsidP="006A4A29">
      <w:pPr>
        <w:pStyle w:val="Default"/>
        <w:spacing w:before="100" w:beforeAutospacing="1"/>
        <w:ind w:firstLine="708"/>
      </w:pPr>
      <w:r>
        <w:t xml:space="preserve">1.По данным выборочного федерального статистического наблюдения в 2013 году выбросы в атмосферу вредных веществ организациями Тульской области, выбрасывающими в атмосферу 10 тонн и более загрязняющих веществ в год, составили 180.64 тыс. тонн и по сравнению с 2012 годом уменьшились на 9.0%. </w:t>
      </w:r>
      <w:r>
        <w:rPr>
          <w:i/>
        </w:rPr>
        <w:t>Чем обусловлено сокращение выбросов в атмосферу?</w:t>
      </w:r>
    </w:p>
    <w:p w:rsidR="006A4A29" w:rsidRDefault="006A4A29" w:rsidP="006A4A29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2.Наибольшее количество загрязняющих веществ попадает в атмосферу с выбросами промышленных предприятий Суворовского района (40.5% общего выброса) и г. Новомосковска (25.8%). 32,1% всех загрязняющих веществ в атмосферу приходится на предприятия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улы, Алексинского,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районов. </w:t>
      </w:r>
      <w:r>
        <w:rPr>
          <w:rFonts w:ascii="Times New Roman" w:hAnsi="Times New Roman" w:cs="Times New Roman"/>
          <w:i/>
          <w:sz w:val="24"/>
          <w:szCs w:val="24"/>
        </w:rPr>
        <w:t>Аргументируйте данное утверждение.</w:t>
      </w:r>
    </w:p>
    <w:p w:rsidR="006A4A29" w:rsidRDefault="006A4A29" w:rsidP="006A4A29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3.На основе приведенных данных оцените состояние качества атмосферного воздуха в микрорайоне школы.</w:t>
      </w:r>
    </w:p>
    <w:p w:rsidR="006A4A29" w:rsidRDefault="006A4A29" w:rsidP="006A4A29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Таблица 1. Перечень веще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ств с пр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евышением ПДК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1678"/>
        <w:gridCol w:w="1966"/>
        <w:gridCol w:w="1185"/>
        <w:gridCol w:w="1185"/>
        <w:gridCol w:w="1185"/>
        <w:gridCol w:w="1186"/>
        <w:gridCol w:w="1186"/>
      </w:tblGrid>
      <w:tr w:rsidR="006A4A29" w:rsidTr="006A4A29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поста наблюдения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вещества</w:t>
            </w:r>
          </w:p>
        </w:tc>
        <w:tc>
          <w:tcPr>
            <w:tcW w:w="5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Исследовано проб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A4A29" w:rsidTr="006A4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9" w:rsidRDefault="006A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9" w:rsidRDefault="006A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A4A29" w:rsidTr="006A4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9" w:rsidRDefault="006A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9" w:rsidRDefault="006A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9" w:rsidRDefault="006A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29" w:rsidRDefault="006A4A29">
            <w:pPr>
              <w:pStyle w:val="Default"/>
              <w:spacing w:before="100" w:beforeAutospacing="1"/>
            </w:pPr>
            <w:r>
              <w:t xml:space="preserve">До 1 </w:t>
            </w:r>
            <w:proofErr w:type="spellStart"/>
            <w:r>
              <w:t>ПДКм.р</w:t>
            </w:r>
            <w:proofErr w:type="spellEnd"/>
            <w:r>
              <w:t xml:space="preserve">. </w:t>
            </w:r>
          </w:p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pStyle w:val="Default"/>
              <w:spacing w:before="100" w:beforeAutospacing="1"/>
            </w:pPr>
            <w:r>
              <w:t xml:space="preserve">1.1-5.0 </w:t>
            </w:r>
            <w:proofErr w:type="spellStart"/>
            <w:r>
              <w:t>ПДКм.р</w:t>
            </w:r>
            <w:proofErr w:type="spellEnd"/>
            <w:r>
              <w:t xml:space="preserve">.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pStyle w:val="Default"/>
              <w:spacing w:before="100" w:beforeAutospacing="1"/>
            </w:pPr>
            <w:r>
              <w:t xml:space="preserve">5.1-10.0 </w:t>
            </w:r>
            <w:proofErr w:type="spellStart"/>
            <w:r>
              <w:t>ПДКм.р</w:t>
            </w:r>
            <w:proofErr w:type="spellEnd"/>
            <w:r>
              <w:t xml:space="preserve">.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pStyle w:val="Default"/>
              <w:spacing w:before="100" w:beforeAutospacing="1"/>
            </w:pPr>
            <w:r>
              <w:t xml:space="preserve">&gt;10.0 </w:t>
            </w:r>
            <w:proofErr w:type="spellStart"/>
            <w:r>
              <w:t>ПДКм.р</w:t>
            </w:r>
            <w:proofErr w:type="spellEnd"/>
            <w:r>
              <w:t xml:space="preserve">. </w:t>
            </w:r>
          </w:p>
        </w:tc>
      </w:tr>
      <w:tr w:rsidR="006A4A29" w:rsidTr="006A4A29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ПНЗ № 5</w:t>
            </w:r>
          </w:p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Г.Тула, ул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ира,11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pStyle w:val="Default"/>
              <w:spacing w:before="100" w:beforeAutospacing="1"/>
            </w:pPr>
            <w:r>
              <w:t>886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pStyle w:val="Default"/>
              <w:spacing w:before="100" w:beforeAutospacing="1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pStyle w:val="Default"/>
              <w:spacing w:before="100" w:beforeAutospacing="1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pStyle w:val="Default"/>
              <w:spacing w:before="100" w:beforeAutospacing="1"/>
            </w:pPr>
            <w:r>
              <w:t>-</w:t>
            </w:r>
          </w:p>
        </w:tc>
      </w:tr>
      <w:tr w:rsidR="006A4A29" w:rsidTr="006A4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9" w:rsidRDefault="006A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углерода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A29" w:rsidTr="006A4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9" w:rsidRDefault="006A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 азота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A29" w:rsidTr="006A4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9" w:rsidRDefault="006A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4A29" w:rsidRDefault="006A4A29" w:rsidP="006A4A29">
      <w:pPr>
        <w:pStyle w:val="Default"/>
        <w:spacing w:before="100" w:beforeAutospacing="1"/>
      </w:pPr>
      <w:r>
        <w:rPr>
          <w:b/>
          <w:i/>
        </w:rPr>
        <w:t>Гидрологи.</w:t>
      </w:r>
      <w:r>
        <w:rPr>
          <w:rFonts w:eastAsia="Calibri"/>
          <w:b/>
          <w:i/>
        </w:rPr>
        <w:t xml:space="preserve"> «Экологическая экспертиза состояния поверхностных и подземных вод».</w:t>
      </w:r>
      <w:r>
        <w:t xml:space="preserve"> </w:t>
      </w:r>
      <w:r>
        <w:rPr>
          <w:b/>
        </w:rPr>
        <w:t>Карточка – задание №2.</w:t>
      </w:r>
    </w:p>
    <w:p w:rsidR="006A4A29" w:rsidRDefault="006A4A29" w:rsidP="006A4A29">
      <w:pPr>
        <w:pStyle w:val="Default"/>
        <w:spacing w:before="100" w:beforeAutospacing="1"/>
        <w:rPr>
          <w:i/>
        </w:rPr>
      </w:pPr>
      <w:r>
        <w:t xml:space="preserve">1. Качество воды р. </w:t>
      </w:r>
      <w:proofErr w:type="spellStart"/>
      <w:r>
        <w:t>Упа</w:t>
      </w:r>
      <w:proofErr w:type="spellEnd"/>
      <w:r>
        <w:t xml:space="preserve"> (г. Тула) в фоновом створе заметно улучшилось, перейдя из класса-разряда 4А (грязная)</w:t>
      </w:r>
      <w:r>
        <w:rPr>
          <w:color w:val="auto"/>
        </w:rPr>
        <w:t xml:space="preserve"> в класс-разряд 3Б (очень загрязнённая). </w:t>
      </w:r>
      <w:r>
        <w:t xml:space="preserve"> </w:t>
      </w:r>
      <w:r>
        <w:rPr>
          <w:i/>
        </w:rPr>
        <w:t>С чем это связано?</w:t>
      </w:r>
    </w:p>
    <w:p w:rsidR="006A4A29" w:rsidRDefault="006A4A29" w:rsidP="006A4A29">
      <w:pPr>
        <w:pStyle w:val="Default"/>
        <w:spacing w:before="100" w:beforeAutospacing="1"/>
        <w:ind w:firstLine="708"/>
        <w:rPr>
          <w:i/>
        </w:rPr>
      </w:pPr>
      <w:r>
        <w:t xml:space="preserve">2. </w:t>
      </w:r>
      <w:proofErr w:type="gramStart"/>
      <w:r>
        <w:t>На территории Тульской области ведется  государственный мониторинг поверхностных водных объектов и водохозяйственных систем и сооружений).</w:t>
      </w:r>
      <w:proofErr w:type="gramEnd"/>
      <w:r>
        <w:t xml:space="preserve"> </w:t>
      </w:r>
      <w:r>
        <w:rPr>
          <w:i/>
        </w:rPr>
        <w:t>Какова его роль?</w:t>
      </w:r>
    </w:p>
    <w:p w:rsidR="006A4A29" w:rsidRDefault="006A4A29" w:rsidP="006A4A29">
      <w:pPr>
        <w:pStyle w:val="Default"/>
        <w:spacing w:before="100" w:beforeAutospacing="1"/>
        <w:ind w:firstLine="708"/>
      </w:pPr>
      <w:r>
        <w:t xml:space="preserve">3. Среди природоохранных мероприятий, связанных с охраной водных ресурсов, можно выделить </w:t>
      </w:r>
      <w:proofErr w:type="gramStart"/>
      <w:r>
        <w:t>следующие</w:t>
      </w:r>
      <w:proofErr w:type="gramEnd"/>
      <w:r>
        <w:t>:</w:t>
      </w:r>
    </w:p>
    <w:p w:rsidR="006A4A29" w:rsidRDefault="006A4A29" w:rsidP="006A4A29">
      <w:pPr>
        <w:pStyle w:val="Default"/>
        <w:spacing w:before="100" w:beforeAutospacing="1"/>
      </w:pPr>
      <w:r>
        <w:lastRenderedPageBreak/>
        <w:t xml:space="preserve">- определение границ </w:t>
      </w:r>
      <w:proofErr w:type="spellStart"/>
      <w:r>
        <w:t>водоохранных</w:t>
      </w:r>
      <w:proofErr w:type="spellEnd"/>
      <w:r>
        <w:t xml:space="preserve"> зон и прибрежных защитных полос;</w:t>
      </w:r>
    </w:p>
    <w:p w:rsidR="006A4A29" w:rsidRDefault="006A4A29" w:rsidP="006A4A29">
      <w:pPr>
        <w:pStyle w:val="Default"/>
        <w:spacing w:before="100" w:beforeAutospacing="1"/>
      </w:pPr>
      <w:r>
        <w:t xml:space="preserve">- закрепление на местности границ </w:t>
      </w:r>
      <w:proofErr w:type="spellStart"/>
      <w:r>
        <w:t>водоохранных</w:t>
      </w:r>
      <w:proofErr w:type="spellEnd"/>
      <w:r>
        <w:t xml:space="preserve"> зон и прибрежных защитных полос специальными информационными знаками;</w:t>
      </w:r>
    </w:p>
    <w:p w:rsidR="006A4A29" w:rsidRDefault="006A4A29" w:rsidP="006A4A29">
      <w:pPr>
        <w:pStyle w:val="Default"/>
        <w:spacing w:before="100" w:beforeAutospacing="1"/>
      </w:pPr>
      <w:r>
        <w:t>- капитальный и текущий ремонт гидротехнических сооружений;</w:t>
      </w:r>
    </w:p>
    <w:p w:rsidR="006A4A29" w:rsidRDefault="006A4A29" w:rsidP="006A4A29">
      <w:pPr>
        <w:pStyle w:val="Default"/>
        <w:spacing w:before="100" w:beforeAutospacing="1"/>
      </w:pPr>
      <w:r>
        <w:t>- строительство, реконструкция и ремонт очистных сооружений и канализационных сетей;</w:t>
      </w:r>
    </w:p>
    <w:p w:rsidR="006A4A29" w:rsidRDefault="006A4A29" w:rsidP="006A4A29">
      <w:pPr>
        <w:pStyle w:val="Default"/>
        <w:spacing w:before="100" w:beforeAutospacing="1"/>
      </w:pPr>
      <w:r>
        <w:t>- строительство, реконструкция и ремонт систем оборотного (повторно-последовательного) водоснабжения.</w:t>
      </w:r>
    </w:p>
    <w:p w:rsidR="006A4A29" w:rsidRDefault="006A4A29" w:rsidP="006A4A29">
      <w:pPr>
        <w:pStyle w:val="Default"/>
        <w:spacing w:before="100" w:beforeAutospacing="1"/>
        <w:rPr>
          <w:i/>
        </w:rPr>
      </w:pPr>
      <w:r>
        <w:rPr>
          <w:i/>
        </w:rPr>
        <w:t>Какие из них, на ваш взгляд, наиболее эффективны?</w:t>
      </w:r>
    </w:p>
    <w:p w:rsidR="006A4A29" w:rsidRDefault="006A4A29" w:rsidP="006A4A29">
      <w:pPr>
        <w:pStyle w:val="Default"/>
        <w:spacing w:before="100" w:beforeAutospacing="1"/>
        <w:rPr>
          <w:rFonts w:eastAsia="Calibri"/>
          <w:b/>
          <w:i/>
        </w:rPr>
      </w:pPr>
      <w:r>
        <w:rPr>
          <w:b/>
          <w:i/>
        </w:rPr>
        <w:t>Почвоведы.</w:t>
      </w:r>
      <w:r>
        <w:rPr>
          <w:rFonts w:eastAsia="Calibri"/>
          <w:b/>
          <w:i/>
        </w:rPr>
        <w:t xml:space="preserve"> «Экологическая экспертиза земельного фонда и  почв».</w:t>
      </w:r>
    </w:p>
    <w:p w:rsidR="006A4A29" w:rsidRDefault="006A4A29" w:rsidP="006A4A29">
      <w:pPr>
        <w:pStyle w:val="Default"/>
        <w:spacing w:before="100" w:beforeAutospacing="1"/>
        <w:rPr>
          <w:rFonts w:eastAsia="Calibri"/>
          <w:b/>
          <w:i/>
        </w:rPr>
      </w:pPr>
      <w:r>
        <w:rPr>
          <w:b/>
        </w:rPr>
        <w:t>Карточка – задание №3.</w:t>
      </w:r>
    </w:p>
    <w:p w:rsidR="006A4A29" w:rsidRDefault="006A4A29" w:rsidP="006A4A29">
      <w:pPr>
        <w:pStyle w:val="Default"/>
        <w:spacing w:before="100" w:beforeAutospacing="1"/>
        <w:ind w:firstLine="708"/>
      </w:pPr>
      <w:proofErr w:type="gramStart"/>
      <w:r>
        <w:t xml:space="preserve">Площадь земельного фонда Тульской области на 01.01.2014 г. составила 2567,9 тыс. га, в том числе сельхозугодий 1978.2 тыс. га, пашни 1556 тыс. га, залежи 7,6 тыс. га, многолетних насаждений 44,9 тыс. га, сенокосов 69,1 тыс. га, пастбищ 300,6 тыс. га. </w:t>
      </w:r>
      <w:proofErr w:type="gramEnd"/>
    </w:p>
    <w:p w:rsidR="006A4A29" w:rsidRDefault="006A4A29" w:rsidP="006A4A29">
      <w:pPr>
        <w:pStyle w:val="Default"/>
        <w:spacing w:before="100" w:beforeAutospacing="1"/>
        <w:ind w:left="720"/>
        <w:rPr>
          <w:iCs/>
        </w:rPr>
      </w:pPr>
    </w:p>
    <w:p w:rsidR="006A4A29" w:rsidRDefault="006A4A29" w:rsidP="006A4A29">
      <w:pPr>
        <w:pStyle w:val="Default"/>
        <w:spacing w:before="100" w:beforeAutospacing="1"/>
        <w:ind w:left="720"/>
      </w:pPr>
      <w:r>
        <w:rPr>
          <w:iCs/>
        </w:rPr>
        <w:t>Таблица 2. Распределение земельного фонда области по категориям земель</w:t>
      </w:r>
      <w:r>
        <w:t>.</w:t>
      </w:r>
    </w:p>
    <w:tbl>
      <w:tblPr>
        <w:tblW w:w="0" w:type="auto"/>
        <w:tblLayout w:type="fixed"/>
        <w:tblLook w:val="04A0"/>
      </w:tblPr>
      <w:tblGrid>
        <w:gridCol w:w="534"/>
        <w:gridCol w:w="3118"/>
        <w:gridCol w:w="1418"/>
        <w:gridCol w:w="1417"/>
        <w:gridCol w:w="1418"/>
        <w:gridCol w:w="1221"/>
      </w:tblGrid>
      <w:tr w:rsidR="006A4A29" w:rsidTr="006A4A29">
        <w:trPr>
          <w:trHeight w:val="11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rPr>
                <w:b/>
                <w:bCs/>
              </w:rPr>
              <w:t xml:space="preserve">№ </w:t>
            </w:r>
          </w:p>
          <w:p w:rsidR="006A4A29" w:rsidRDefault="006A4A29">
            <w:pPr>
              <w:pStyle w:val="Default"/>
              <w:spacing w:before="100" w:beforeAutospacing="1" w:line="276" w:lineRule="auto"/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rPr>
                <w:b/>
                <w:bCs/>
              </w:rPr>
              <w:t xml:space="preserve">Категория земель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rPr>
                <w:b/>
                <w:bCs/>
              </w:rPr>
              <w:t xml:space="preserve">2012 год </w:t>
            </w:r>
          </w:p>
          <w:p w:rsidR="006A4A29" w:rsidRDefault="006A4A29">
            <w:pPr>
              <w:pStyle w:val="Default"/>
              <w:spacing w:before="100" w:beforeAutospacing="1" w:line="276" w:lineRule="auto"/>
            </w:pPr>
            <w:r>
              <w:rPr>
                <w:b/>
                <w:bCs/>
              </w:rPr>
              <w:t xml:space="preserve">тыс. га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rPr>
                <w:b/>
                <w:bCs/>
              </w:rPr>
              <w:t xml:space="preserve">2013 год </w:t>
            </w:r>
          </w:p>
          <w:p w:rsidR="006A4A29" w:rsidRDefault="006A4A29">
            <w:pPr>
              <w:pStyle w:val="Default"/>
              <w:spacing w:before="100" w:beforeAutospacing="1" w:line="276" w:lineRule="auto"/>
            </w:pPr>
            <w:r>
              <w:rPr>
                <w:b/>
                <w:bCs/>
              </w:rPr>
              <w:t xml:space="preserve">тыс. га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rPr>
                <w:b/>
                <w:bCs/>
              </w:rPr>
              <w:t xml:space="preserve">2013 г. </w:t>
            </w:r>
          </w:p>
          <w:p w:rsidR="006A4A29" w:rsidRDefault="006A4A29">
            <w:pPr>
              <w:pStyle w:val="Default"/>
              <w:spacing w:before="100" w:beforeAutospacing="1" w:line="276" w:lineRule="auto"/>
            </w:pPr>
            <w:r>
              <w:rPr>
                <w:b/>
                <w:bCs/>
              </w:rPr>
              <w:t xml:space="preserve">к 2012 г. </w:t>
            </w:r>
          </w:p>
          <w:p w:rsidR="006A4A29" w:rsidRDefault="006A4A29">
            <w:pPr>
              <w:pStyle w:val="Default"/>
              <w:spacing w:before="100" w:beforeAutospacing="1" w:line="276" w:lineRule="auto"/>
            </w:pPr>
            <w:r>
              <w:rPr>
                <w:b/>
                <w:bCs/>
              </w:rPr>
              <w:t xml:space="preserve">(+ / - )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rPr>
                <w:b/>
                <w:bCs/>
              </w:rPr>
              <w:t>В %</w:t>
            </w:r>
          </w:p>
          <w:p w:rsidR="006A4A29" w:rsidRDefault="006A4A29">
            <w:pPr>
              <w:pStyle w:val="Default"/>
              <w:spacing w:before="100" w:beforeAutospacing="1" w:line="276" w:lineRule="auto"/>
            </w:pPr>
            <w:r>
              <w:rPr>
                <w:b/>
                <w:bCs/>
              </w:rPr>
              <w:t xml:space="preserve">от общей площади </w:t>
            </w:r>
          </w:p>
        </w:tc>
      </w:tr>
      <w:tr w:rsidR="006A4A29" w:rsidTr="006A4A29">
        <w:trPr>
          <w:trHeight w:val="1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1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Земли сельскохозяйственного назначения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1844,1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1850.4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+6,3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72,1 </w:t>
            </w:r>
          </w:p>
        </w:tc>
      </w:tr>
      <w:tr w:rsidR="006A4A29" w:rsidTr="006A4A29">
        <w:trPr>
          <w:trHeight w:val="1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2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Земли населенных пунктов, в том числе: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228,9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231.6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+2,7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9 </w:t>
            </w:r>
          </w:p>
        </w:tc>
      </w:tr>
      <w:tr w:rsidR="006A4A29" w:rsidTr="006A4A29">
        <w:trPr>
          <w:trHeight w:val="1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городских населенных пунктов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67,2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69.5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+2,3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2,7 </w:t>
            </w:r>
          </w:p>
        </w:tc>
      </w:tr>
      <w:tr w:rsidR="006A4A29" w:rsidTr="006A4A29">
        <w:trPr>
          <w:trHeight w:val="1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сельских населенных пунктов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161,7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162.1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+0,4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6,3 </w:t>
            </w:r>
          </w:p>
        </w:tc>
      </w:tr>
      <w:tr w:rsidR="006A4A29" w:rsidTr="006A4A29">
        <w:trPr>
          <w:trHeight w:val="47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3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proofErr w:type="gramStart"/>
            <w: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63,3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60.9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-2,4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A29" w:rsidRDefault="006A4A29">
            <w:pPr>
              <w:pStyle w:val="Default"/>
              <w:spacing w:before="100" w:beforeAutospacing="1" w:line="276" w:lineRule="auto"/>
            </w:pPr>
            <w:r>
              <w:t xml:space="preserve">2,4 </w:t>
            </w:r>
          </w:p>
        </w:tc>
      </w:tr>
    </w:tbl>
    <w:p w:rsidR="006A4A29" w:rsidRDefault="006A4A29" w:rsidP="006A4A29">
      <w:pPr>
        <w:pStyle w:val="Default"/>
        <w:spacing w:before="100" w:beforeAutospacing="1"/>
      </w:pPr>
    </w:p>
    <w:p w:rsidR="006A4A29" w:rsidRDefault="006A4A29" w:rsidP="006A4A29">
      <w:pPr>
        <w:pStyle w:val="Default"/>
        <w:spacing w:before="100" w:beforeAutospacing="1"/>
        <w:rPr>
          <w:rFonts w:eastAsia="Calibri"/>
          <w:b/>
        </w:rPr>
      </w:pPr>
      <w:r>
        <w:rPr>
          <w:i/>
        </w:rPr>
        <w:t>Какие категории земель претерпели изменения</w:t>
      </w:r>
      <w:r>
        <w:t>?</w:t>
      </w:r>
      <w:r>
        <w:rPr>
          <w:rFonts w:eastAsia="Calibri"/>
          <w:b/>
        </w:rPr>
        <w:t xml:space="preserve"> </w:t>
      </w:r>
    </w:p>
    <w:p w:rsidR="006A4A29" w:rsidRDefault="006A4A29" w:rsidP="006A4A29">
      <w:pPr>
        <w:pStyle w:val="Default"/>
        <w:spacing w:before="100" w:beforeAutospacing="1"/>
        <w:ind w:firstLine="708"/>
      </w:pPr>
      <w:proofErr w:type="gramStart"/>
      <w:r>
        <w:t xml:space="preserve">2.Нарушенные земли – земли, утратившие свою хозяйственную ценность или являющиеся источником отрицательного воздействия на окружающую среду в связи с </w:t>
      </w:r>
      <w:r>
        <w:lastRenderedPageBreak/>
        <w:t xml:space="preserve">нарушением почвенного покрова, гидрологического режима и образования техногенного рельефа в результате производственной деятельности человека. </w:t>
      </w:r>
      <w:proofErr w:type="gramEnd"/>
    </w:p>
    <w:p w:rsidR="006A4A29" w:rsidRDefault="006A4A29" w:rsidP="006A4A29">
      <w:pPr>
        <w:pStyle w:val="Default"/>
        <w:spacing w:before="100" w:beforeAutospacing="1"/>
        <w:rPr>
          <w:i/>
        </w:rPr>
      </w:pPr>
      <w:r>
        <w:rPr>
          <w:i/>
        </w:rPr>
        <w:t>Укажите причины нарушения земель и пути решения данной экологической проблемы.</w:t>
      </w:r>
    </w:p>
    <w:p w:rsidR="006A4A29" w:rsidRDefault="006A4A29" w:rsidP="006A4A29">
      <w:pPr>
        <w:pStyle w:val="Default"/>
        <w:spacing w:before="100" w:beforeAutospacing="1"/>
        <w:ind w:firstLine="708"/>
        <w:rPr>
          <w:color w:val="auto"/>
        </w:rPr>
      </w:pPr>
      <w:r>
        <w:t xml:space="preserve">3. </w:t>
      </w:r>
      <w:r>
        <w:rPr>
          <w:color w:val="auto"/>
        </w:rPr>
        <w:t xml:space="preserve">В Тульской области наиболее характерными негативными процессами являются водная эрозия, которой подвержено 510,1 тыс. га сельскохозяйственных угодий, переувлажнению и заболачиванию земель подвержено 133,32 тыс. га сельскохозяйственных угодий, Идет процесс </w:t>
      </w:r>
      <w:proofErr w:type="spellStart"/>
      <w:r>
        <w:rPr>
          <w:color w:val="auto"/>
        </w:rPr>
        <w:t>закисления</w:t>
      </w:r>
      <w:proofErr w:type="spellEnd"/>
      <w:r>
        <w:rPr>
          <w:color w:val="auto"/>
        </w:rPr>
        <w:t xml:space="preserve"> почв, на территории Тульской области 843,9 тыс</w:t>
      </w:r>
      <w:proofErr w:type="gramStart"/>
      <w:r>
        <w:rPr>
          <w:color w:val="auto"/>
        </w:rPr>
        <w:t>.г</w:t>
      </w:r>
      <w:proofErr w:type="gramEnd"/>
      <w:r>
        <w:rPr>
          <w:color w:val="auto"/>
        </w:rPr>
        <w:t>а кислых почв, которые требуют известкования (по состоянию на 01.01.2014 года из 255 тыс.га исследованных земель, 218 тыс. га – кислые).</w:t>
      </w:r>
    </w:p>
    <w:p w:rsidR="006A4A29" w:rsidRDefault="006A4A29" w:rsidP="006A4A29">
      <w:pPr>
        <w:pStyle w:val="Default"/>
        <w:spacing w:before="100" w:beforeAutospacing="1"/>
        <w:ind w:firstLine="708"/>
        <w:rPr>
          <w:i/>
          <w:color w:val="auto"/>
        </w:rPr>
      </w:pPr>
      <w:r>
        <w:rPr>
          <w:i/>
          <w:color w:val="auto"/>
        </w:rPr>
        <w:t>Какие мероприятия по улучшению плодородия почв Тульской области считаете целесообразными?</w:t>
      </w:r>
    </w:p>
    <w:p w:rsidR="006A4A29" w:rsidRDefault="006A4A29" w:rsidP="006A4A29">
      <w:pPr>
        <w:pStyle w:val="Default"/>
        <w:spacing w:before="100" w:beforeAutospacing="1"/>
        <w:rPr>
          <w:rFonts w:eastAsia="Calibri"/>
          <w:b/>
          <w:i/>
        </w:rPr>
      </w:pPr>
      <w:proofErr w:type="spellStart"/>
      <w:r>
        <w:rPr>
          <w:rFonts w:eastAsia="Calibri"/>
          <w:b/>
          <w:i/>
        </w:rPr>
        <w:t>Геологогеоморфологи</w:t>
      </w:r>
      <w:proofErr w:type="spellEnd"/>
      <w:r>
        <w:rPr>
          <w:rFonts w:eastAsia="Calibri"/>
          <w:b/>
          <w:i/>
        </w:rPr>
        <w:t xml:space="preserve">. «Экологическая экспертиза </w:t>
      </w:r>
      <w:proofErr w:type="spellStart"/>
      <w:r>
        <w:rPr>
          <w:rFonts w:eastAsia="Calibri"/>
          <w:b/>
          <w:i/>
        </w:rPr>
        <w:t>недропользования</w:t>
      </w:r>
      <w:proofErr w:type="spellEnd"/>
      <w:r>
        <w:rPr>
          <w:rFonts w:eastAsia="Calibri"/>
          <w:b/>
          <w:i/>
        </w:rPr>
        <w:t>».</w:t>
      </w:r>
    </w:p>
    <w:p w:rsidR="006A4A29" w:rsidRDefault="006A4A29" w:rsidP="006A4A29">
      <w:pPr>
        <w:pStyle w:val="Default"/>
        <w:spacing w:before="100" w:beforeAutospacing="1"/>
        <w:ind w:firstLine="708"/>
        <w:rPr>
          <w:b/>
        </w:rPr>
      </w:pPr>
      <w:r>
        <w:rPr>
          <w:b/>
        </w:rPr>
        <w:t>Карточка – задание №4.</w:t>
      </w:r>
    </w:p>
    <w:p w:rsidR="006A4A29" w:rsidRDefault="006A4A29" w:rsidP="006A4A29">
      <w:pPr>
        <w:pStyle w:val="Default"/>
        <w:spacing w:before="100" w:beforeAutospacing="1"/>
        <w:ind w:firstLine="708"/>
        <w:rPr>
          <w:i/>
        </w:rPr>
      </w:pPr>
      <w:r>
        <w:t xml:space="preserve">1. На территории Тульской области в разное время были выявлены и разведаны запасы месторождений разных видов полезных ископаемых.  </w:t>
      </w:r>
      <w:r>
        <w:rPr>
          <w:i/>
        </w:rPr>
        <w:t>Насколько целесообразно развивать геологоразведку на современном этапе?</w:t>
      </w:r>
    </w:p>
    <w:p w:rsidR="006A4A29" w:rsidRDefault="006A4A29" w:rsidP="006A4A29">
      <w:pPr>
        <w:pStyle w:val="Default"/>
        <w:spacing w:before="100" w:beforeAutospacing="1"/>
      </w:pPr>
      <w:r>
        <w:tab/>
        <w:t xml:space="preserve">2.В 2013 году в Тульской области разработан и принят ряд нормативных правовых актов, регламентирующих деятельность субъекта в сфере </w:t>
      </w:r>
      <w:proofErr w:type="spellStart"/>
      <w:r>
        <w:t>недропользования</w:t>
      </w:r>
      <w:proofErr w:type="spellEnd"/>
      <w:r>
        <w:t xml:space="preserve">. В действующее законодательство области внесены изменения, в соответствии с которыми расширены полномочия субъекта в указанной сфере. Благодаря этому в 2013 году, впервые за последние несколько лет в полной мере обеспечено функционирование государственной системы лицензирования пользования участками недр, распоряжение которыми отнесено к компетенции Тульской области. </w:t>
      </w:r>
    </w:p>
    <w:p w:rsidR="006A4A29" w:rsidRDefault="006A4A29" w:rsidP="006A4A29">
      <w:pPr>
        <w:pStyle w:val="Default"/>
        <w:spacing w:before="100" w:beforeAutospacing="1"/>
        <w:rPr>
          <w:i/>
        </w:rPr>
      </w:pPr>
      <w:r>
        <w:t xml:space="preserve">  </w:t>
      </w:r>
      <w:r>
        <w:rPr>
          <w:i/>
        </w:rPr>
        <w:t>Считаете ли вы принятие этих документов своевременным?</w:t>
      </w:r>
    </w:p>
    <w:p w:rsidR="006A4A29" w:rsidRDefault="006A4A29" w:rsidP="006A4A29">
      <w:pPr>
        <w:pStyle w:val="Default"/>
        <w:spacing w:before="100" w:beforeAutospacing="1"/>
        <w:ind w:firstLine="708"/>
        <w:rPr>
          <w:i/>
        </w:rPr>
      </w:pPr>
      <w:r>
        <w:t xml:space="preserve">3. Серьезной проблемой в Тульской области в течение целого ряда лет остается восстановление земель, нарушенных в процессе добычи полезных ископаемых. </w:t>
      </w:r>
      <w:r>
        <w:rPr>
          <w:i/>
        </w:rPr>
        <w:t>Какие мероприятия необходимо проводить с целью восстановления  продуктивности и хозяйственной ценности нарушенных земель?</w:t>
      </w:r>
    </w:p>
    <w:p w:rsidR="006A4A29" w:rsidRDefault="006A4A29" w:rsidP="006A4A29">
      <w:pPr>
        <w:pStyle w:val="Default"/>
        <w:spacing w:before="100" w:beforeAutospacing="1"/>
        <w:ind w:firstLine="708"/>
        <w:rPr>
          <w:rFonts w:eastAsia="Calibri"/>
          <w:b/>
          <w:i/>
        </w:rPr>
      </w:pPr>
      <w:r>
        <w:rPr>
          <w:rFonts w:eastAsia="Calibri"/>
          <w:b/>
          <w:i/>
        </w:rPr>
        <w:t>Биологи. «Экологическая экспертиза биологических ресурсов»</w:t>
      </w:r>
    </w:p>
    <w:p w:rsidR="006A4A29" w:rsidRDefault="006A4A29" w:rsidP="006A4A29">
      <w:pPr>
        <w:pStyle w:val="Default"/>
        <w:spacing w:before="100" w:beforeAutospacing="1"/>
        <w:ind w:firstLine="708"/>
        <w:rPr>
          <w:b/>
        </w:rPr>
      </w:pPr>
      <w:r>
        <w:rPr>
          <w:b/>
        </w:rPr>
        <w:t>Карточка – задание №5.</w:t>
      </w:r>
    </w:p>
    <w:p w:rsidR="006A4A29" w:rsidRDefault="006A4A29" w:rsidP="006A4A29">
      <w:pPr>
        <w:pStyle w:val="Default"/>
        <w:spacing w:before="100" w:beforeAutospacing="1"/>
        <w:ind w:firstLine="708"/>
      </w:pPr>
      <w:r>
        <w:t>1.Анализ динамики лесного фонда Тульской области за2013 год свидетельствует о положительных количественных и качественных тенденциях:  площадь земель, покрытых лесной растительностью, по сравнению с предыдущем годом не изменилась 267,1 тыс</w:t>
      </w:r>
      <w:proofErr w:type="gramStart"/>
      <w:r>
        <w:t>.г</w:t>
      </w:r>
      <w:proofErr w:type="gramEnd"/>
      <w:r>
        <w:t xml:space="preserve">а; в породном составе лесов области площадь хвойных насаждений немного уменьшилась на 0,05 тыс. га, однако площадь твердолиственных насаждений увеличилась на 0,1 тыс. га, площадь малоценных </w:t>
      </w:r>
      <w:proofErr w:type="spellStart"/>
      <w:r>
        <w:t>мягколиственных</w:t>
      </w:r>
      <w:proofErr w:type="spellEnd"/>
      <w:r>
        <w:t xml:space="preserve"> древостоев осталась без изменений; возрастная структура </w:t>
      </w:r>
      <w:proofErr w:type="gramStart"/>
      <w:r>
        <w:t>древостоев</w:t>
      </w:r>
      <w:proofErr w:type="gramEnd"/>
      <w:r>
        <w:t xml:space="preserve"> в общем не ухудшилась, но поменялась в породном распределении: площадь молодняков до 20 лет возросла у хвойных насаждений на 0,1 тыс. га; - у твердолиственных сократилась на 0,01 га; площади лесных культур увеличились на 109 га. </w:t>
      </w:r>
    </w:p>
    <w:p w:rsidR="006A4A29" w:rsidRDefault="006A4A29" w:rsidP="006A4A29">
      <w:pPr>
        <w:pStyle w:val="Default"/>
        <w:spacing w:before="100" w:beforeAutospacing="1"/>
        <w:rPr>
          <w:i/>
        </w:rPr>
      </w:pPr>
      <w:r>
        <w:rPr>
          <w:i/>
        </w:rPr>
        <w:lastRenderedPageBreak/>
        <w:t>Чем вызвано ухудшение состояния Тульских лесов?</w:t>
      </w:r>
    </w:p>
    <w:p w:rsidR="006A4A29" w:rsidRDefault="006A4A29" w:rsidP="006A4A29">
      <w:pPr>
        <w:pStyle w:val="Default"/>
        <w:spacing w:before="100" w:beforeAutospacing="1"/>
        <w:ind w:firstLine="708"/>
      </w:pPr>
      <w:r>
        <w:rPr>
          <w:rFonts w:eastAsia="Calibri"/>
        </w:rPr>
        <w:t>2.</w:t>
      </w:r>
      <w:r>
        <w:t xml:space="preserve">К настоящему времени во флоре Тульской области насчитывается более 1420 видов сосудистых растений, из которых около 1020 являются аборигенными. Полученные за последние 100 лет научные данные по флоре региона были проанализированы и положены в основу первого издания Красной книги Тульской области: растения и грибы (2010 г.), </w:t>
      </w:r>
      <w:proofErr w:type="gramStart"/>
      <w:r>
        <w:t>в</w:t>
      </w:r>
      <w:proofErr w:type="gramEnd"/>
      <w:r>
        <w:t xml:space="preserve"> которую включено 165 сосудистых растений, 44 – моховидных, 25 – </w:t>
      </w:r>
      <w:proofErr w:type="spellStart"/>
      <w:r>
        <w:t>лихенизированных</w:t>
      </w:r>
      <w:proofErr w:type="spellEnd"/>
      <w:r>
        <w:t xml:space="preserve"> грибов, т.е. лишайников, и 58 – собственно грибов. </w:t>
      </w:r>
    </w:p>
    <w:p w:rsidR="006A4A29" w:rsidRDefault="006A4A29" w:rsidP="006A4A29">
      <w:pPr>
        <w:pStyle w:val="Default"/>
        <w:spacing w:before="100" w:beforeAutospacing="1"/>
      </w:pPr>
      <w:r>
        <w:t xml:space="preserve">Занесенные в Красную книгу Тульской области виды сосудистых растений составляют около 15,2% от всей природной компоненты флоры данной систематической группы. </w:t>
      </w:r>
    </w:p>
    <w:p w:rsidR="006A4A29" w:rsidRDefault="006A4A29" w:rsidP="006A4A29">
      <w:pPr>
        <w:pStyle w:val="Default"/>
        <w:spacing w:before="100" w:beforeAutospacing="1"/>
        <w:ind w:firstLine="708"/>
        <w:rPr>
          <w:i/>
        </w:rPr>
      </w:pPr>
      <w:r>
        <w:rPr>
          <w:i/>
        </w:rPr>
        <w:t>С какой целью проводится анализ состояния фауны Тульской области? Какие меры по сохранению редких и исчезающих видов животных региона проводятся?</w:t>
      </w:r>
    </w:p>
    <w:p w:rsidR="006A4A29" w:rsidRDefault="006A4A29" w:rsidP="006A4A29">
      <w:pPr>
        <w:pStyle w:val="Default"/>
        <w:spacing w:before="100" w:beforeAutospacing="1"/>
        <w:ind w:firstLine="708"/>
      </w:pPr>
      <w:r>
        <w:t xml:space="preserve">3. Состояние популяций диких копытных животных за последние годы в Тульской области имеет стойкую тенденцию к росту численности видов, чему способствует ряд причин (за исключением кабана). </w:t>
      </w:r>
      <w:r>
        <w:rPr>
          <w:rFonts w:eastAsia="Calibri"/>
          <w:i/>
        </w:rPr>
        <w:t>Укажите причины.</w:t>
      </w:r>
    </w:p>
    <w:p w:rsidR="006A4A29" w:rsidRDefault="006A4A29" w:rsidP="006A4A29">
      <w:pPr>
        <w:pStyle w:val="Default"/>
        <w:spacing w:before="100" w:beforeAutospacing="1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          </w:t>
      </w:r>
    </w:p>
    <w:p w:rsidR="006A4A29" w:rsidRDefault="006A4A29" w:rsidP="006A4A29">
      <w:pPr>
        <w:pStyle w:val="Default"/>
        <w:spacing w:before="100" w:beforeAutospacing="1"/>
        <w:rPr>
          <w:b/>
        </w:rPr>
      </w:pPr>
      <w:r>
        <w:rPr>
          <w:rFonts w:eastAsia="Calibri"/>
          <w:b/>
          <w:i/>
        </w:rPr>
        <w:t xml:space="preserve">  </w:t>
      </w:r>
      <w:proofErr w:type="spellStart"/>
      <w:r>
        <w:rPr>
          <w:rFonts w:eastAsia="Calibri"/>
          <w:b/>
          <w:i/>
        </w:rPr>
        <w:t>Ландшафтоведы-экологи</w:t>
      </w:r>
      <w:proofErr w:type="spellEnd"/>
      <w:r>
        <w:rPr>
          <w:rFonts w:eastAsia="Calibri"/>
          <w:b/>
          <w:i/>
        </w:rPr>
        <w:t>.</w:t>
      </w:r>
      <w:r>
        <w:rPr>
          <w:b/>
        </w:rPr>
        <w:t xml:space="preserve"> </w:t>
      </w:r>
      <w:r>
        <w:rPr>
          <w:rFonts w:eastAsia="Calibri"/>
          <w:b/>
          <w:i/>
        </w:rPr>
        <w:t>«Экологическая экспертиза ландшафтов».</w:t>
      </w:r>
    </w:p>
    <w:p w:rsidR="006A4A29" w:rsidRDefault="006A4A29" w:rsidP="006A4A29">
      <w:pPr>
        <w:pStyle w:val="Default"/>
        <w:spacing w:before="100" w:beforeAutospacing="1"/>
        <w:rPr>
          <w:b/>
        </w:rPr>
      </w:pPr>
      <w:r>
        <w:rPr>
          <w:b/>
        </w:rPr>
        <w:t>Карточка – задание №6.</w:t>
      </w:r>
    </w:p>
    <w:p w:rsidR="006A4A29" w:rsidRDefault="006A4A29" w:rsidP="006A4A29">
      <w:pPr>
        <w:pStyle w:val="Default"/>
        <w:spacing w:before="100" w:beforeAutospacing="1"/>
        <w:ind w:firstLine="708"/>
        <w:rPr>
          <w:b/>
        </w:rPr>
      </w:pPr>
      <w:r>
        <w:t xml:space="preserve">1. Традиционной и наиболее эффективной формой сохранения биологического и ландшафтного разнообразия являются особо охраняемые природные территории. Таких территорий в Тульской области всего 46. Это памятники природы: лесные урочища, участки степей и лугов, озера, парки. Общая площадь памятников природы, включая охранные зоны, составляет 6622,07 га, что менее 1% от площади региона. За период 2013 года число ООПТ регионального значения не изменилось. Вновь образованные ООПТ отсутствуют. </w:t>
      </w:r>
    </w:p>
    <w:p w:rsidR="006A4A29" w:rsidRDefault="006A4A29" w:rsidP="006A4A29">
      <w:pPr>
        <w:pStyle w:val="Default"/>
        <w:spacing w:before="100" w:beforeAutospacing="1"/>
        <w:rPr>
          <w:i/>
        </w:rPr>
      </w:pPr>
      <w:r>
        <w:rPr>
          <w:i/>
        </w:rPr>
        <w:t xml:space="preserve">Свидетельствует ли это о достаточности  существующих площадей, количестве и назначении памятников природы для обеспечения эффективных способов территориальной охраны редких и исчезающих видов животных и растений? </w:t>
      </w:r>
    </w:p>
    <w:p w:rsidR="006A4A29" w:rsidRDefault="006A4A29" w:rsidP="006A4A29">
      <w:pPr>
        <w:pStyle w:val="Default"/>
        <w:spacing w:before="100" w:beforeAutospacing="1"/>
        <w:ind w:firstLine="708"/>
        <w:rPr>
          <w:i/>
        </w:rPr>
      </w:pPr>
      <w:r>
        <w:t>2.Сегодня общая площадь Центрального парка г</w:t>
      </w:r>
      <w:proofErr w:type="gramStart"/>
      <w:r>
        <w:t>.Т</w:t>
      </w:r>
      <w:proofErr w:type="gramEnd"/>
      <w:r>
        <w:t xml:space="preserve">улы составляет 143 гектара, 97 из которых покрыто зелёными насаждениями. 34 гектара отводится рекреационной зоне. Древостой парка разнообразен и представлен 86 видами древесно-кустарниковых пород. Это береза, дуб, ясень, клен, вяз и т.д. </w:t>
      </w:r>
      <w:proofErr w:type="gramStart"/>
      <w:r>
        <w:t>Хвойные</w:t>
      </w:r>
      <w:proofErr w:type="gramEnd"/>
      <w:r>
        <w:t xml:space="preserve"> составляют всего лишь 7,4% от всех насаждений. Растения, не характерные для нашей местности (</w:t>
      </w:r>
      <w:proofErr w:type="spellStart"/>
      <w:r>
        <w:t>интродуценты</w:t>
      </w:r>
      <w:proofErr w:type="spellEnd"/>
      <w:r>
        <w:t xml:space="preserve">), представлены 55 видами. К тому же, в парке произрастает порядка 150 видов травянистых растений. </w:t>
      </w:r>
      <w:r>
        <w:rPr>
          <w:i/>
        </w:rPr>
        <w:t>Каково значение насаждений парка?</w:t>
      </w:r>
    </w:p>
    <w:p w:rsidR="006A4A29" w:rsidRDefault="006A4A29" w:rsidP="006A4A29">
      <w:pPr>
        <w:pStyle w:val="Default"/>
        <w:spacing w:before="100" w:beforeAutospacing="1"/>
        <w:ind w:firstLine="708"/>
        <w:rPr>
          <w:i/>
        </w:rPr>
      </w:pPr>
      <w:r>
        <w:t>3.</w:t>
      </w:r>
      <w:r>
        <w:rPr>
          <w:i/>
        </w:rPr>
        <w:t>Какие изменения ландшафта окрестностей школы вы наблюдаете? Оцените степень антропогенного воздействия.</w:t>
      </w:r>
    </w:p>
    <w:p w:rsidR="006A4A29" w:rsidRDefault="006A4A29" w:rsidP="006A4A29">
      <w:pPr>
        <w:pStyle w:val="Default"/>
        <w:spacing w:before="100" w:beforeAutospacing="1"/>
        <w:rPr>
          <w:rFonts w:eastAsia="Calibri"/>
          <w:b/>
        </w:rPr>
      </w:pPr>
      <w:r>
        <w:rPr>
          <w:b/>
          <w:i/>
        </w:rPr>
        <w:t>4.</w:t>
      </w:r>
      <w:r>
        <w:rPr>
          <w:rFonts w:eastAsia="Calibri"/>
          <w:b/>
        </w:rPr>
        <w:t>Окончание конференции.</w:t>
      </w:r>
    </w:p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Подошла к концу научно-практическая конференция по изучению экологических проблем  и охране природы Тульской области. Для её завершения необходимо принять резолюцию.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Предлагается каждой группе оценить экологического состояние исследуемого компонента, руководствуясь критериями оценки. Оформляется сводная ведомость экологической экспертизы Тульской области.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111"/>
        <w:gridCol w:w="1843"/>
        <w:gridCol w:w="1843"/>
        <w:gridCol w:w="1808"/>
      </w:tblGrid>
      <w:tr w:rsidR="006A4A29" w:rsidTr="006A4A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Исследуемый компонент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6A4A29" w:rsidTr="006A4A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9" w:rsidRDefault="006A4A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равновесие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кризис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катастрофа</w:t>
            </w:r>
          </w:p>
        </w:tc>
      </w:tr>
      <w:tr w:rsidR="006A4A29" w:rsidTr="006A4A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Воздушный бассейн.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A29" w:rsidTr="006A4A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Поверхностные и подземные воды.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A29" w:rsidTr="006A4A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фонд и почвы.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A29" w:rsidTr="006A4A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Минеральные ресурсы.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A29" w:rsidTr="006A4A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 ресурсы.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A29" w:rsidTr="006A4A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Ландшафты.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29" w:rsidRDefault="006A4A29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A4A29" w:rsidRDefault="006A4A29" w:rsidP="006A4A29">
      <w:pPr>
        <w:spacing w:before="100" w:before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 конференции отмечают, что состояние природной среды оказывает влияние на качество жизни населения. В Тульской области за последние годы наблюдается развитие правовой основы природопользования,  эффективность мониторинга окружающей среды, практическое участие граждан в улучшении экологического состояния парков, скверов, улиц.</w:t>
      </w:r>
    </w:p>
    <w:p w:rsidR="006A4A29" w:rsidRDefault="006A4A29" w:rsidP="006A4A29">
      <w:pPr>
        <w:spacing w:before="100" w:beforeAutospacing="1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5.Домашнее задание.</w:t>
      </w:r>
    </w:p>
    <w:p w:rsidR="006A4A29" w:rsidRDefault="006A4A29" w:rsidP="006A4A29">
      <w:pPr>
        <w:spacing w:before="100" w:beforeAutospacing="1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Подготовить сообщение об особо</w:t>
      </w:r>
      <w:r>
        <w:rPr>
          <w:rFonts w:ascii="Times New Roman" w:hAnsi="Times New Roman" w:cs="Times New Roman"/>
          <w:sz w:val="24"/>
          <w:szCs w:val="24"/>
        </w:rPr>
        <w:t xml:space="preserve"> охраняемых природных территориях в Тульской области. </w:t>
      </w:r>
    </w:p>
    <w:sectPr w:rsidR="006A4A29" w:rsidSect="00F3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F7F67"/>
    <w:multiLevelType w:val="hybridMultilevel"/>
    <w:tmpl w:val="BA5A7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29"/>
    <w:rsid w:val="00411ECF"/>
    <w:rsid w:val="006A4A29"/>
    <w:rsid w:val="008871CF"/>
    <w:rsid w:val="0098284A"/>
    <w:rsid w:val="00F33654"/>
    <w:rsid w:val="00F6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3"/>
        <o:r id="V:Rule7" type="connector" idref="#_x0000_s1034"/>
        <o:r id="V:Rule8" type="connector" idref="#_x0000_s1036"/>
        <o:r id="V:Rule9" type="connector" idref="#_x0000_s1038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29"/>
    <w:pPr>
      <w:ind w:left="720"/>
      <w:contextualSpacing/>
    </w:pPr>
  </w:style>
  <w:style w:type="paragraph" w:customStyle="1" w:styleId="Default">
    <w:name w:val="Default"/>
    <w:rsid w:val="006A4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A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2195</Words>
  <Characters>12517</Characters>
  <Application>Microsoft Office Word</Application>
  <DocSecurity>0</DocSecurity>
  <Lines>104</Lines>
  <Paragraphs>29</Paragraphs>
  <ScaleCrop>false</ScaleCrop>
  <Company/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МОУСОШ19</dc:creator>
  <cp:keywords/>
  <dc:description/>
  <cp:lastModifiedBy>МОУСОШ19</cp:lastModifiedBy>
  <cp:revision>3</cp:revision>
  <dcterms:created xsi:type="dcterms:W3CDTF">2014-12-08T05:25:00Z</dcterms:created>
  <dcterms:modified xsi:type="dcterms:W3CDTF">2014-12-09T05:00:00Z</dcterms:modified>
</cp:coreProperties>
</file>