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Физическое воспитание в учреждениях образования является неотъемлемой частью учебно-педагогического процесса, рационально содействуя воспитанию здоровых, физически развитых, социально активных личностей.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Большой популярностью среди обучающихся общеобразовательных учреждений пользуется баскетбол.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Баскетбол - игра увлекательная, динамичная, требующая от игроков хорошей физической подготовленности и технико-тактического мастерства. В основе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фоне постоянно меняющейся информации лежат активно выполняемые естественные движения: бег, прыжки, передачи, броски, ведение мяча и т.п.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Специфика двигательной деятельности игры в баскетбол способствует рациональному физическому развитию, всесторонней физической подготовленности, увеличению подвижности суставов, укреплению деятельности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сердечнососудистой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дыхательной систем, а также положительно влияет на развитие психомоторных механизмов (быстрая и адекватная ориентировка в сложной двигательной деятельности, развитие реакции выбора, концентрация внимания, распределение внимания, объем поля зрения, оперативность мышления, моторная выносливость).</w:t>
      </w:r>
      <w:proofErr w:type="gramEnd"/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Баскетбол - игра коллективная, успех которой зависит от слаженности действий и взаимопонимания игроков, что достигается за счет подчинения собственных интересов интересам команды. Таким образом, детско-юношеский баскетбол формирует у обучающегося умения и навыки оптимального участия в коллективной работе.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Регулярные занятия детей и подростков баскетболом - активная форма подготовки к требованиям социально-трудовой жизни, современного общества. Учебная программа рассчитана на подготовку и повышение квалификации тренеров-преподавателей баскетбольных секций общеобразовательных учреждений.</w:t>
      </w:r>
    </w:p>
    <w:p w:rsidR="00F6210C" w:rsidRPr="00316EA6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Учебная программа обобщает и систематизирует теоретические и практические сведения, позволяющие рационально строить учебно-тренировочный процесс (в рамках массового спорта), получать положительные сдвиги в развитии детско-юношеского организма и формировать в соответствии с возрастными особенностями правильное выполнение двигательных умений и навыков (технико-тактическая подготовка).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0056E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16EA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Подвижные игры в занятиях баскетболом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баскетболе разработано и предложено большое количество средств и методов подготовки спортсменов. Для формирования техники игры применяют подводящие упражнения, а в качестве основных средств используются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подвижные игры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Построение учебно-тренировочного процесса в баскетболе имеет свою специфику в использовании подвижных игр, предполагая их применение в нескольких направлениях. Так, подвижные игры в комплексе с контрольными тестами позволяют решить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проблему отбора новичков</w:t>
      </w:r>
      <w:r>
        <w:rPr>
          <w:rFonts w:ascii="Arial" w:hAnsi="Arial" w:cs="Arial"/>
          <w:color w:val="000000"/>
          <w:sz w:val="20"/>
          <w:szCs w:val="20"/>
          <w:u w:val="single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поскольку в игровом методе наиболее ярко и естественно проявляются индивидуальные особенности занимающихся. С их помощью решаются задачи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создания последовательно-усложняющихся игровых ситуаций для развития специальных физических качеств и овладение технико-тактическим арсеналом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Игровая деятельность в баскетболе складывается таким образом, что игрокам приходится выполнять большое количество рывков на разное расстояние, как с изменением скорости, так и направления движения, выполнять прыжки толчком одной и двух ног, множественные защитные действия, что предъявляет высокие требования 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скоростно-силовой подготовленности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баскетболиста. Именно подвижные игры позволяет развить такие физические качества, как быстрота, сила, ловкость, выносливость. Решить эту задачу помогают такие подвижные игры как «Десять передач», «Мяч капитану» и др. Формировать некоторые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элементы техники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позволяют такие игры, как «Играй, играй, мяч не теряй», «Подбрось-поймай», «Мяч в стену» и др. Кроме того, в подвижных играх создаются благоприятные условия для воспитания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положительных, нравственно-волевых черт</w:t>
      </w:r>
      <w:r>
        <w:rPr>
          <w:rFonts w:ascii="Arial" w:hAnsi="Arial" w:cs="Arial"/>
          <w:color w:val="000000"/>
          <w:sz w:val="20"/>
          <w:szCs w:val="20"/>
        </w:rPr>
        <w:t xml:space="preserve">. Например: командные игры приучают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проявлять взаимопомощь и доброжелательность друг к другу. Использование </w:t>
      </w:r>
      <w:r>
        <w:rPr>
          <w:rFonts w:ascii="Arial" w:hAnsi="Arial" w:cs="Arial"/>
          <w:color w:val="000000"/>
          <w:sz w:val="20"/>
          <w:szCs w:val="20"/>
        </w:rPr>
        <w:lastRenderedPageBreak/>
        <w:t>подвижных игр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способствует снижению эмоциональной нагрузки, «смягчению» психологической напряженности тренировочной деятельности.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Подвижные игры активизируют внимание, оказывают положительное влияние 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восстановление работоспособности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успешного и эффективного использования игр в системе тренировочного занятия, необходимо знать и учитывать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методические аспекты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организации и проведение подвижных игр. Воспитательное, образовательное и оздоровительное влияние подвижных игр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занимающихся зависит от руководства ею. Выделяют ряд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факторов</w:t>
      </w:r>
      <w:r>
        <w:rPr>
          <w:rFonts w:ascii="Arial" w:hAnsi="Arial" w:cs="Arial"/>
          <w:color w:val="000000"/>
          <w:sz w:val="20"/>
          <w:szCs w:val="20"/>
        </w:rPr>
        <w:t>, которые необходимо учитывать в процессе планирования игры.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Подбор игр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проводится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 системе их трудности для занимающихся с систематическим повторением для прочного усвоения приобретаемых в подвижных играх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навыков и умений. При подборе игры необходимо учитывать: педагогические задачи, поставленные на данном занятии; учет положительного переноса двигательного навыка; физиологические особенности занимающихся; психологические особенности различного пола; подготовленность группы; количественный состав занимающихся; место проведения занятия (зал, естественные условия среды).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Особое значение уделяю подготовке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инвентаря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как от этого зависит результат игры. Инвентарь должен быть красочным и заметным в игре, по размеру и весу он должен соответствовать силам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а количество инвентаря необходимо предусмотреть заранее. Лучше хранить его у места проведения, но раздавать и расставлять инвентарь только после объяснения игры.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объяснении игры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следует придерживаться и учитывать следующее: название игры; размеры игровой площадки; роль играющих и их расположение (размещение играющих и место руководителя для меня особо актуально.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Объяснять игру необходимо в таком положении, чтобы участники видели и слышали руководителя); ход игры; цель; правила игры.</w:t>
      </w:r>
      <w:proofErr w:type="gramEnd"/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выборе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водящего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желательно, чтобы в этой роли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побывало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возможно больше игроков, т.к. выполнение обязанности водящего оказывает большое воспитательное влияние на играющих.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Распределение на команды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проводится также разными способами: по усмотрению руководителя; путем расчета; путем перестроения; по назначению капитанов; по сговору; использование постоянных команд. Игру необходимо начинать организованно и своевременно, по условному сигналу. Рекомендуется употреблять различные команды и сигналы, чтобы развивать у детей точность и быстроту двигательной реакции на различные приказания.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Для успешного проведения занятий необходимо соблюдать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требования по технике безопасности: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руководитель должен учитывать наиболее опасные моменты в игре (перепрыгивание, спрыгивание и т.д.) и быть готовым к подстраховке, а также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соблюдения санитарно-гигиенических норм</w:t>
      </w:r>
      <w:r>
        <w:rPr>
          <w:rFonts w:ascii="Arial" w:hAnsi="Arial" w:cs="Arial"/>
          <w:color w:val="000000"/>
          <w:sz w:val="20"/>
          <w:szCs w:val="20"/>
        </w:rPr>
        <w:t>: чистый и сухой пол; хорошее освещение снарядов в одной части зала; наличие спортивной формы и обуви; наличие неиспорченного спортивного инвентаря.</w:t>
      </w:r>
      <w:proofErr w:type="gramEnd"/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Каждая игра требует объективного, беспристрастного судейства. Игра теряет свою ценность, если не соблюдаются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Правила</w:t>
      </w:r>
      <w:r>
        <w:rPr>
          <w:rFonts w:ascii="Arial" w:hAnsi="Arial" w:cs="Arial"/>
          <w:color w:val="000000"/>
          <w:sz w:val="20"/>
          <w:szCs w:val="20"/>
        </w:rPr>
        <w:t xml:space="preserve">. От судьи зависит правильное подведение итогов. Правильное и корректное судейство в подвижных играх способствует воспитанию у детей честности, уважения к судье и правилам, что особо важно для всех спортивных игр. Продолжительность игры зависит от характера игры, условий занятий и состава занимающихся.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Важное значение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имеет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своевременность окончания игры</w:t>
      </w:r>
      <w:r>
        <w:rPr>
          <w:rFonts w:ascii="Arial" w:hAnsi="Arial" w:cs="Arial"/>
          <w:color w:val="000000"/>
          <w:sz w:val="20"/>
          <w:szCs w:val="20"/>
        </w:rPr>
        <w:t xml:space="preserve">. Как только появятся первые признаки утомления, игру следует заканчивать. Игру можно прекратить через определенное время, заранее установленное перед игрой, однако окончание игры не должно быть неожиданным для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По окончанию игры руководитель должен объявить ее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результаты</w:t>
      </w:r>
      <w:r>
        <w:rPr>
          <w:rFonts w:ascii="Arial" w:hAnsi="Arial" w:cs="Arial"/>
          <w:color w:val="000000"/>
          <w:sz w:val="20"/>
          <w:szCs w:val="20"/>
        </w:rPr>
        <w:t>. Важно уделить внимание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разбору игры, указав на ошибки в технических приемах и тактике</w:t>
      </w:r>
      <w:r>
        <w:rPr>
          <w:rFonts w:ascii="Arial" w:hAnsi="Arial" w:cs="Arial"/>
          <w:color w:val="000000"/>
          <w:sz w:val="20"/>
          <w:szCs w:val="20"/>
        </w:rPr>
        <w:t xml:space="preserve">. Отметить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участников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наиболее хорошо справившихся с заданием.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Рассмотрим отдельные подвижные игры в занятиях баскетболом.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Методически правильно будет, предлагая игру, отрабатывать в ней те навыки, которые были разучены на занятии.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Игры, связанные с бегом на скорость и быстроту реагирования.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«К своим флажкам».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Играющие разделившись на несколько команд (5-6 человек), становятся в кружки, начертанные по всей площадки. В центре каждого кружка - дежурный с флажком, отличающимся по цвету от других. Все играющие, кроме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стоящих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флажками, по сигналу разбегаются по площадке и становятся лицом к стене или закрывают глаза. В это время дежурные с флажками тихо меняются местами. Тренер дает сигнал, и играющие открывают глаза и бегут к своим флажкам, образуя кружок. Побеждает команда, построившись в кружок первой.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«Команда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быстроногих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Играющие делятся на 2-4 команды и выстраиваются в колонны по одному. Напротив каждой команды располагается по гимнастической стойке. По сигналу первые игроки бегут к стойкам, обегают их и возвращаются назад. Игрок? первый пересекший линию старта, приносит своей команде очко. Далее по сигналу бегут следующие игроки и т.д.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«Салки простые».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Играющие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свободно располагаются на площадке. Выбираются двое водящих. По сигналу салки начинают осаливать игроков. Если они кого-то осалили, то они меняются ролями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осаленными. Победитель - игрок, ни разу не осаленный водящими.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Игры, связанные с прыжками в высоту и длину.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«Удочка».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Играющие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образуют круг, в центре которого располагается водящий с длинной скакалкой в руках. По сигналу он начинает крутить скакалку, 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играющие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стараются через нее перепрыгнуть, не задев. Игрок, который задел скакалку, меняется ролями с водящим. Победителем считается игрок, ни разу не задевший скакалку.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«Челнок».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Играющие разбиваются на две команды и располагаются напротив друг друга на лицевых линиях. По сигналу игроки команд прыгают (толкаясь двумя ногами с места) навстречу к средней линии. После прыжка первого номера отмечается линия его приземления, игрок возвращается в свою команду, а с места его приземления прыгает уже очередной игрок и т.д. Если последнему игроку удалось преодолеть линию соперника, то его команда побеждает.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Игры, связанные с метанием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«Мячом в цель».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 каждого из играющих в руках по теннисному мячу, все они располагаются на линии метания.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расстоянии 10 шагов водящий подбрасывает волейбольный мяч вверх. Задача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попасть в летящий мяч. За каждое попадание дается очко. Побеждает игрок, который за 8-10 попыток набрал больше очков.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«Попади в цель».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Играющие делятся на две команды и выстраиваются шеренгами на боковых линиях напротив друг друга. В центре кладется волейбольный мяч. У каждой команды по 6 баскетбольных мячей. По сигналу играющие бросают мячи в волейбольный мяч, стараясь откатить его к противоположной команде. Выигрывает команда, сумевшая закатить мяч за черту другой. Не разрешается останавливать мяч ногами или руками, а также выбегать в центр за баскетбольными мячами.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Игры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связанные с передачей и ловлей мяча.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«Десять передач».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Играющие разбиваются на пары и располагаются на расстоянии 2-</w:t>
      </w:r>
      <w:smartTag w:uri="urn:schemas-microsoft-com:office:smarttags" w:element="metricconverter">
        <w:smartTagPr>
          <w:attr w:name="ProductID" w:val="3 м"/>
        </w:smartTagPr>
        <w:r>
          <w:rPr>
            <w:rFonts w:ascii="Arial" w:hAnsi="Arial" w:cs="Arial"/>
            <w:color w:val="000000"/>
            <w:sz w:val="20"/>
            <w:szCs w:val="20"/>
          </w:rPr>
          <w:t>3 м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друг от друга, образуя шеренги. У каждой пары мяч. По сигналу они начинают передавать мяч определенным способом, ранее оговоренным, стараясь не уронить его на землю. Побеждает пара, сделавшая 10 передач без падения на землю.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«За мячом».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Играющие образуют несколько команд, каждая из которых выбирает водящего. Команды делятся пополам и становятся в колонны одна против другой на расстоянии 2-</w:t>
      </w:r>
      <w:smartTag w:uri="urn:schemas-microsoft-com:office:smarttags" w:element="metricconverter">
        <w:smartTagPr>
          <w:attr w:name="ProductID" w:val="3 м"/>
        </w:smartTagPr>
        <w:r>
          <w:rPr>
            <w:rFonts w:ascii="Arial" w:hAnsi="Arial" w:cs="Arial"/>
            <w:color w:val="000000"/>
            <w:sz w:val="20"/>
            <w:szCs w:val="20"/>
          </w:rPr>
          <w:t>3 м</w:t>
        </w:r>
      </w:smartTag>
      <w:r>
        <w:rPr>
          <w:rFonts w:ascii="Arial" w:hAnsi="Arial" w:cs="Arial"/>
          <w:color w:val="000000"/>
          <w:sz w:val="20"/>
          <w:szCs w:val="20"/>
        </w:rPr>
        <w:t>. По сигналу водящий передаёт стоящему первым в противоположной колонне игроку, а сам бежит в конец этой колонны, т.е. вслед за мячом и т.д. Игра заканчивается тогда, когда все игроки вернутся на свои места, а мячи возвратятся водящим. Выигрывает команда - первая закончившая задание.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«Чья команда сделает больше передач».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Две команды. Игра начинается с подбрасывания мяча в центральном кругу.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Команда, овладевшая мячом начинает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выполнять передачи между своими игроками, перемещаясь в любом направлении по площадке. Вторая команда старается перехватить мяч, не давая игрокам получить точную передачу. Учитель считает количество </w:t>
      </w:r>
      <w:r>
        <w:rPr>
          <w:rFonts w:ascii="Arial" w:hAnsi="Arial" w:cs="Arial"/>
          <w:color w:val="000000"/>
          <w:sz w:val="20"/>
          <w:szCs w:val="20"/>
        </w:rPr>
        <w:lastRenderedPageBreak/>
        <w:t>передач сделанных командой до тех пор, пока мячом не овладеет вторая команда. Затем он начинает считать выполненные передачи. Можно играть до определенного количества передач или времени. Бегать с мячом в руках нельзя.</w:t>
      </w:r>
    </w:p>
    <w:p w:rsid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«Передай быстрее».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Играющие стоят в общем кругу и под музыку передают друг другу набивные мячи. В момент остановки музыки игрок, у которого в руках оказался мяч, должен «выплатить фунт»: назвать любой вид спорта, подвижную игру с мячом. Игру можно усложнить: ввести 2-3 мяча. Игра продолжается 3 раза.</w:t>
      </w:r>
    </w:p>
    <w:p w:rsidR="00F6210C" w:rsidRPr="00F6210C" w:rsidRDefault="00F6210C" w:rsidP="00F6210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Таким образом, прочность и богатство игрового опыта являются важным элементом двигательной подготовки и могут оказать неоценимую пользу при изучении спортивных игр баскетбол.  Включение подвижных игр в тренировочные занятия баскетболом, помогает снизить нагрузку, сохранить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занимающихся приятное впечатление о занятии и подготовить их к последующим тренировкам. Если ребенок регулярно посещает мои занятия, участвует на соревнованиях, делится своей радостью и переживаниями, выпускается со спортивной школы, поступает в другие образовательные учреждения и продолжает заниматься баскетболом – значит моя миссия, как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педагогавыполнена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93BC8" w:rsidRDefault="00593BC8"/>
    <w:sectPr w:rsidR="0059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C"/>
    <w:rsid w:val="00593BC8"/>
    <w:rsid w:val="00F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10C"/>
  </w:style>
  <w:style w:type="paragraph" w:styleId="a3">
    <w:name w:val="Normal (Web)"/>
    <w:basedOn w:val="a"/>
    <w:rsid w:val="00F6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10C"/>
  </w:style>
  <w:style w:type="paragraph" w:styleId="a3">
    <w:name w:val="Normal (Web)"/>
    <w:basedOn w:val="a"/>
    <w:rsid w:val="00F6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2015-01-27T12:25:00Z</dcterms:created>
  <dcterms:modified xsi:type="dcterms:W3CDTF">2015-01-27T12:25:00Z</dcterms:modified>
</cp:coreProperties>
</file>