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5E65" w:rsidRDefault="0090548B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Задание 2_ Трубачева Марина Владимировна</w:t>
      </w:r>
    </w:p>
    <w:p w:rsidR="00B05E65" w:rsidRDefault="00B05E65">
      <w:pPr>
        <w:pStyle w:val="normal"/>
      </w:pPr>
    </w:p>
    <w:p w:rsidR="00B05E65" w:rsidRDefault="00B05E65">
      <w:pPr>
        <w:pStyle w:val="normal"/>
        <w:jc w:val="center"/>
      </w:pPr>
    </w:p>
    <w:tbl>
      <w:tblPr>
        <w:tblW w:w="129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85"/>
        <w:gridCol w:w="1740"/>
        <w:gridCol w:w="3225"/>
        <w:gridCol w:w="3255"/>
        <w:gridCol w:w="2355"/>
      </w:tblGrid>
      <w:tr w:rsidR="00B05E65">
        <w:tblPrEx>
          <w:tblCellMar>
            <w:top w:w="0" w:type="dxa"/>
            <w:bottom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Содержательная линия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  <w:ind w:right="-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задания</w:t>
            </w:r>
          </w:p>
        </w:tc>
      </w:tr>
      <w:tr w:rsidR="00B05E65">
        <w:tblPrEx>
          <w:tblCellMar>
            <w:top w:w="0" w:type="dxa"/>
            <w:bottom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Информация, информационные процессы и технологии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sz w:val="20"/>
              </w:rPr>
              <w:t>30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Информатика. Понятие информации. Единицы измерения информации. Основные свойства информации. Информационный процесс. Основные виды информационных процессов. Архитектура компьютера. Программное обеспечение. Пользовательский интерфейс. Информационные техноло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гии. Виды информации. Кодирование различных видов информации. Система счисления. Компьютерная сеть.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основные определения;</w:t>
            </w:r>
          </w:p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примеры источников и приемников информации; единицы измерения количества и скорости передачи информации; назначение и функции ис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пользуемых информационных и коммуникационных технологий; приводить примеры информации и информационных процессов из области человеческой деятельности, живой природы и техники;определять в конкретном процессе передачи информации источник, приемник, канал; и</w:t>
            </w:r>
            <w:r>
              <w:rPr>
                <w:rFonts w:ascii="Times New Roman" w:eastAsia="Times New Roman" w:hAnsi="Times New Roman" w:cs="Times New Roman"/>
                <w:sz w:val="20"/>
              </w:rPr>
              <w:t>змерять информационный объем текста в байтах (при использовании компьютерного алфавита);пересчитывать количество информации в различных единицах;правила техники безопасности при работе на компьютере;состав основных устройств компьютера, их назначение и инф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ормационное взаимодействие;сущность программного управления работой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компьютера;принципы организации информации на внешних носителях; назначение программного обеспечения и его состав; в чем различие между локальными и глобальными сетями;</w:t>
            </w:r>
          </w:p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назначение основных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технических и программных средств функционирования сетей: каналов связи, модемов, серверов, клиентов, протоколов;назначение основных видов услуг глобальных сетей: электронной почты, телеконференций, файловых архивов и др;что такое Интернет; какие возможно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сти предоставляет пользователю Всемирная паутина — WWW.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Пересчёт количества информации в различных величинах, решение задач с применением формулы скорости передачи информации, формулы зависимости мощности алфавита и информационного веса одного символа, нах</w:t>
            </w:r>
            <w:r>
              <w:rPr>
                <w:rFonts w:ascii="Times New Roman" w:eastAsia="Times New Roman" w:hAnsi="Times New Roman" w:cs="Times New Roman"/>
                <w:sz w:val="20"/>
              </w:rPr>
              <w:t>ождение информационного веса сообщения, основные технологии работы с текстовой, графической информацией, решение задач на системы счисления, технологии поиска информации в интернете, работа в локальной компьютерной сети, работа с электронной почтой.</w:t>
            </w:r>
          </w:p>
        </w:tc>
      </w:tr>
      <w:tr w:rsidR="00B05E65">
        <w:tblPrEx>
          <w:tblCellMar>
            <w:top w:w="0" w:type="dxa"/>
            <w:bottom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Инфор</w:t>
            </w:r>
            <w:r>
              <w:rPr>
                <w:rFonts w:ascii="Times New Roman" w:eastAsia="Times New Roman" w:hAnsi="Times New Roman" w:cs="Times New Roman"/>
                <w:sz w:val="20"/>
              </w:rPr>
              <w:t>мационные модели и моделирование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sz w:val="20"/>
              </w:rPr>
              <w:t>40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t>Модель, типы моделей, формализация, этапы моделирования, понятие базы данных (БД), информационной системы, основные понятия БД, СУБД, электронная таблица, табличный процессор, типы данных, адресация в электронных таблица</w:t>
            </w:r>
            <w:r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  <w:ind w:left="40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основные определения; в чем разница между натурной и информационной моделями; какие существуют формы представления информационных моделей; что такое реляционная база данных, ее элементы (записи, поля, ключи); типы и форматы полей;</w:t>
            </w:r>
          </w:p>
          <w:p w:rsidR="00B05E65" w:rsidRDefault="0090548B">
            <w:pPr>
              <w:pStyle w:val="normal"/>
              <w:ind w:lef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структуру команд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поиска и сортировки информации в базах данных; что такое логическая величина, логическое выражение;что такое логические операции, как они выполняются;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открывать готовую БД в одной из СУБД реляционного типа;организовывать поиск информации в БД; редактироват</w:t>
            </w:r>
            <w:r>
              <w:rPr>
                <w:rFonts w:ascii="Times New Roman" w:eastAsia="Times New Roman" w:hAnsi="Times New Roman" w:cs="Times New Roman"/>
                <w:sz w:val="20"/>
              </w:rPr>
              <w:t>ь содержимое полей БД; сортировать записи в БД по ключу; добавлять и удалять записи в БД;создавать и заполнять однотабличную БД в среде СУБД; основные информационные единицы электронной таблицы: ячейки, строки, столбцы, блоки и способы их идентификации;как</w:t>
            </w:r>
            <w:r>
              <w:rPr>
                <w:rFonts w:ascii="Times New Roman" w:eastAsia="Times New Roman" w:hAnsi="Times New Roman" w:cs="Times New Roman"/>
                <w:sz w:val="20"/>
              </w:rPr>
              <w:t>ие типы данных заносятся в электронную таблицу; как табличный процессор работает с формулами;основные функции, используемые при записи формул в электронную таблицу; графические возможности табличного процессора.</w:t>
            </w:r>
          </w:p>
          <w:p w:rsidR="00B05E65" w:rsidRDefault="00B05E65">
            <w:pPr>
              <w:pStyle w:val="normal"/>
            </w:pPr>
          </w:p>
          <w:p w:rsidR="00B05E65" w:rsidRDefault="00B05E65">
            <w:pPr>
              <w:pStyle w:val="normal"/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формализовать информацию,создание различны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х информационных моделей, работа с готовыми компьютерными моделями, построение моделей на компьютере в СУБД, электронных таблиц и интерпретировать данные в таблицах, диаграммах,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преобразовывать одну форму представления в другую без потери информации</w:t>
            </w:r>
          </w:p>
        </w:tc>
      </w:tr>
      <w:tr w:rsidR="00B05E65">
        <w:tblPrEx>
          <w:tblCellMar>
            <w:top w:w="0" w:type="dxa"/>
            <w:bottom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Информационное управление и связь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sz w:val="20"/>
              </w:rPr>
              <w:t>35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Управление, модели управления, кибернетика, алгоритм, свойства алгоритма, исполнитель алгоритма, система команд исполнителя, виды алгоритмических структур, язык программирования.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  <w:ind w:left="40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основные определения; сущность киб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ернетической схемы управления с обратной связью; назначение прямой и обратной связи в этой схеме;что такое алгоритм управления; какова роль алгоритма в системах управления;в чем состоят основные свойства алгоритма;способы записи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алгоритмов: блок-схемы, уче</w:t>
            </w:r>
            <w:r>
              <w:rPr>
                <w:rFonts w:ascii="Times New Roman" w:eastAsia="Times New Roman" w:hAnsi="Times New Roman" w:cs="Times New Roman"/>
                <w:sz w:val="20"/>
              </w:rPr>
              <w:t>бный алгоритмический язык;основные алгоритмические конструкции: следование, ветвление, цикл; структуры алгоритмов;назначение вспомогательных алгоритмов; технологии построения сложных алгоритмов;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пользоваться языком блок-схем, понимать описания алгоритмов н</w:t>
            </w:r>
            <w:r>
              <w:rPr>
                <w:rFonts w:ascii="Times New Roman" w:eastAsia="Times New Roman" w:hAnsi="Times New Roman" w:cs="Times New Roman"/>
                <w:sz w:val="20"/>
              </w:rPr>
              <w:t>а учебном алгоритмическом языке; решать задачи с помощью алгоритмов.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E65" w:rsidRDefault="0090548B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Чтение и понимание готовых алгоритмов, решение задач с помощью алгоритмов, построение блок-схем решения задач, использовать учебный исполнитель, создавать программы для учебного исполните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ля, создание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программ на языке программирования, решать различные задачи на языке программирования.</w:t>
            </w:r>
          </w:p>
        </w:tc>
      </w:tr>
    </w:tbl>
    <w:p w:rsidR="00B05E65" w:rsidRDefault="00B05E65">
      <w:pPr>
        <w:pStyle w:val="normal"/>
      </w:pPr>
    </w:p>
    <w:p w:rsidR="00B05E65" w:rsidRDefault="00B05E65">
      <w:pPr>
        <w:pStyle w:val="normal"/>
        <w:jc w:val="center"/>
      </w:pPr>
    </w:p>
    <w:p w:rsidR="00B05E65" w:rsidRDefault="00B05E65">
      <w:pPr>
        <w:pStyle w:val="normal"/>
        <w:jc w:val="center"/>
      </w:pPr>
    </w:p>
    <w:p w:rsidR="00B05E65" w:rsidRDefault="00B05E65">
      <w:pPr>
        <w:pStyle w:val="normal"/>
        <w:jc w:val="center"/>
      </w:pPr>
    </w:p>
    <w:p w:rsidR="00B05E65" w:rsidRDefault="00B05E65">
      <w:pPr>
        <w:pStyle w:val="normal"/>
        <w:spacing w:line="240" w:lineRule="auto"/>
      </w:pPr>
    </w:p>
    <w:p w:rsidR="00B05E65" w:rsidRDefault="00B05E65">
      <w:pPr>
        <w:pStyle w:val="normal"/>
      </w:pPr>
    </w:p>
    <w:sectPr w:rsidR="00B05E65" w:rsidSect="00B05E65">
      <w:pgSz w:w="15840" w:h="122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FELayout/>
  </w:compat>
  <w:rsids>
    <w:rsidRoot w:val="00B05E65"/>
    <w:rsid w:val="0090548B"/>
    <w:rsid w:val="00B0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05E65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normal"/>
    <w:next w:val="normal"/>
    <w:rsid w:val="00B05E65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normal"/>
    <w:next w:val="normal"/>
    <w:rsid w:val="00B05E65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normal"/>
    <w:next w:val="normal"/>
    <w:rsid w:val="00B05E65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normal"/>
    <w:next w:val="normal"/>
    <w:rsid w:val="00B05E65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normal"/>
    <w:next w:val="normal"/>
    <w:rsid w:val="00B05E65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5E65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normal"/>
    <w:next w:val="normal"/>
    <w:rsid w:val="00B05E65"/>
    <w:pPr>
      <w:spacing w:before="480" w:after="120"/>
    </w:pPr>
    <w:rPr>
      <w:b/>
      <w:sz w:val="72"/>
    </w:rPr>
  </w:style>
  <w:style w:type="paragraph" w:styleId="a4">
    <w:name w:val="Subtitle"/>
    <w:basedOn w:val="normal"/>
    <w:next w:val="normal"/>
    <w:rsid w:val="00B05E65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Задание2_Трубачева Марина Владимировна.docx</dc:title>
  <dc:creator>Kostya</dc:creator>
  <cp:lastModifiedBy>Kostya</cp:lastModifiedBy>
  <cp:revision>2</cp:revision>
  <dcterms:created xsi:type="dcterms:W3CDTF">2013-02-24T07:00:00Z</dcterms:created>
  <dcterms:modified xsi:type="dcterms:W3CDTF">2013-02-24T07:00:00Z</dcterms:modified>
</cp:coreProperties>
</file>