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4B" w:rsidRPr="0069124B" w:rsidRDefault="0069124B" w:rsidP="0069124B">
      <w:pPr>
        <w:shd w:val="clear" w:color="auto" w:fill="FFFFFF"/>
        <w:spacing w:after="0" w:line="360" w:lineRule="auto"/>
        <w:jc w:val="center"/>
        <w:rPr>
          <w:rFonts w:ascii="Bookman Old Style" w:eastAsia="FangSong" w:hAnsi="Bookman Old Style" w:cs="Tahoma"/>
          <w:b/>
          <w:bCs/>
          <w:i/>
          <w:color w:val="FF0000"/>
          <w:sz w:val="36"/>
          <w:szCs w:val="36"/>
          <w:lang w:eastAsia="ru-RU"/>
        </w:rPr>
      </w:pPr>
      <w:r w:rsidRPr="0069124B">
        <w:rPr>
          <w:rFonts w:ascii="Bookman Old Style" w:eastAsia="FangSong" w:hAnsi="Bookman Old Style" w:cs="Tahoma"/>
          <w:b/>
          <w:bCs/>
          <w:i/>
          <w:color w:val="FF0000"/>
          <w:sz w:val="36"/>
          <w:szCs w:val="36"/>
          <w:lang w:eastAsia="ru-RU"/>
        </w:rPr>
        <w:t>Фальшивые друзья переводчиков</w:t>
      </w:r>
    </w:p>
    <w:p w:rsidR="0069124B" w:rsidRDefault="0069124B" w:rsidP="0069124B">
      <w:pPr>
        <w:shd w:val="clear" w:color="auto" w:fill="FFFFFF"/>
        <w:spacing w:after="0" w:line="360" w:lineRule="auto"/>
        <w:jc w:val="center"/>
        <w:rPr>
          <w:rFonts w:eastAsia="Times New Roman" w:cs="Tahoma"/>
          <w:b/>
          <w:bCs/>
          <w:color w:val="174442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286000" cy="1428750"/>
            <wp:effectExtent l="19050" t="0" r="0" b="0"/>
            <wp:docPr id="1" name="Рисунок 1" descr="http://im0-tub-ru.yandex.net/i?id=106284523-55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106284523-55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>
          <w:rPr>
            <w:rStyle w:val="a6"/>
          </w:rPr>
          <w:t>yspex.biz</w:t>
        </w:r>
        <w:proofErr w:type="spellEnd"/>
      </w:hyperlink>
    </w:p>
    <w:p w:rsidR="006E41AB" w:rsidRPr="00EE6679" w:rsidRDefault="006E41AB" w:rsidP="00EE667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Falsche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Freunde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"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- это такие слова для переводчика, которые в двух или нескольких языках имеют такую же или очень похожую форму, что может привести к путанице и непониманию. </w:t>
      </w:r>
    </w:p>
    <w:p w:rsidR="006E41AB" w:rsidRPr="00EE6679" w:rsidRDefault="006E41AB" w:rsidP="00EE667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Например, Вы хотите попросить автограф на память. Казалось бы, интернациональное слово... Сравните: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autograph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(</w:t>
      </w:r>
      <w:proofErr w:type="spell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engl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.),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autografo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(</w:t>
      </w:r>
      <w:proofErr w:type="spell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it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.). Как ни странно, в немецком языке слово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Autograph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употребляется в значении "автограф, подлинная рукопись" скорее как факт, чем "памятная надпись". Так что, если речь идет не о </w:t>
      </w:r>
      <w:proofErr w:type="spell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подписывании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важных бумаг, а о простой любезности, следует употребить похожее слово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Autogramm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Согласитесь, очень легко запутаться. Ниже мы приведем небольшой список таких "ложных друзей".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der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Abiturient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В Германии, говоря об абитуриенте, понимается человек, сдающий экзамен на аттестат зрелости или выпускник средней школы [гимназии]. Мы же связываем его еще с поступлением в какое-либо учебное заведение, что соответствует немецкому понятию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Bewerber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der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Zentner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Еще один парадокс. В немецком и русском языках отличается мера веса "центнер". В немецком - это масса, равная 50 кг, в русском - 100кг. Поэтому при переводе соответствием русской меры является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Doppelzentner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(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Dezitrone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)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im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Erdgeschoss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wohnen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"жить на первом этаже". Русский человек считает этажи, начиная с земли. Немец же ведет счет по количеству лестниц, </w:t>
      </w:r>
      <w:proofErr w:type="spell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условано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считая, что между этажами расположена только одна лестница. Если хотите сказать, что живете на третьем этаже, отнимайте единицу</w:t>
      </w:r>
      <w:proofErr w:type="gram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;</w:t>
      </w:r>
      <w:proofErr w:type="gram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)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ich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wohne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im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zweiten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Stock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Или: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ich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wohne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zwei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Treppen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hoch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Kopf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,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Stück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При указании на количество чего-либо, приходящегося на человека, с единицей счета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Kopf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соотносимы "человек" или "душа", напр.: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der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Verbrauch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pro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Kopf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der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Bevölkerung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- потребление на душу населения (на человека)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Существительное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Stück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употребляется при счете скота, напр.: </w:t>
      </w:r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1000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Stück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Rinder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- </w:t>
      </w:r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lastRenderedPageBreak/>
        <w:t>1000 голов рогатого скота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Слово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Stück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используется также при обозначении части целого или выделения предмета из числа однородных: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ein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Stük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Weges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- отрезок пути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,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ein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Stück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Land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- участок земли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,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Ausstellungsstück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- выставочный экземпляр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,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Geben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Sie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mir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bitte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eine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Tasse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Kaffee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und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drei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Stück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Kuchen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das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Zweifamilienhaus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Говоря о </w:t>
      </w:r>
      <w:proofErr w:type="gram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домах</w:t>
      </w:r>
      <w:proofErr w:type="gram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называют не количество квартир (двухквартирный дом), а количество проживающих в нем семей.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Einbettzimmer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"одноместный номер (в гостинице)". Номера в гостинице характеризуются не по количеству мест (одноместный, двухместный номер), а по количеству кроватей -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Einbettzimmer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,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Zweibettzimmer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Mit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der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Linie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2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fahren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Русские говорят, что они "едут на втором трамвае", присваивая номер скорее трамваю, чем трамвайной линии (маршруту). По-немецки корректно звучит: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ich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fahre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mit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der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Strassenbahn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Linie2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Billion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"триллион". Мера величины не совпадает по своему количественному содержанию с русским "биллион" (1000 миллионов или миллиард). Так что придется "убирать" один нуль. </w:t>
      </w:r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eins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-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fünf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. При цифровом выражении в немецком языке оценок знаний учащихся счет начинается с единицы, а не с пятерки, т.е. лучшая оценка - единица (мечта любого двоечника</w:t>
      </w:r>
      <w:proofErr w:type="gram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;). </w:t>
      </w:r>
      <w:proofErr w:type="gramEnd"/>
    </w:p>
    <w:p w:rsidR="006E41AB" w:rsidRPr="00EE6679" w:rsidRDefault="006E41AB" w:rsidP="00EE6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ahoma"/>
          <w:color w:val="174442"/>
          <w:sz w:val="24"/>
          <w:szCs w:val="24"/>
          <w:lang w:eastAsia="ru-RU"/>
        </w:rPr>
      </w:pP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vier</w:t>
      </w:r>
      <w:proofErr w:type="spellEnd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b/>
          <w:bCs/>
          <w:color w:val="174442"/>
          <w:sz w:val="24"/>
          <w:szCs w:val="24"/>
          <w:lang w:eastAsia="ru-RU"/>
        </w:rPr>
        <w:t>Folgen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. Не совпадает порядковое числительное при </w:t>
      </w:r>
      <w:proofErr w:type="spellStart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>обозначениее</w:t>
      </w:r>
      <w:proofErr w:type="spellEnd"/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серий многосерийного фильма, так как не учитывается первый фильм. Ср.: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ein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Film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mit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vier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Folgen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- </w:t>
      </w:r>
      <w:proofErr w:type="spellStart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>пятисерийный</w:t>
      </w:r>
      <w:proofErr w:type="spellEnd"/>
      <w:r w:rsidRPr="00EE6679">
        <w:rPr>
          <w:rFonts w:eastAsia="Times New Roman" w:cs="Tahoma"/>
          <w:i/>
          <w:iCs/>
          <w:color w:val="174442"/>
          <w:sz w:val="24"/>
          <w:szCs w:val="24"/>
          <w:lang w:eastAsia="ru-RU"/>
        </w:rPr>
        <w:t xml:space="preserve"> фильм</w:t>
      </w:r>
      <w:r w:rsidRPr="00EE6679">
        <w:rPr>
          <w:rFonts w:eastAsia="Times New Roman" w:cs="Tahoma"/>
          <w:color w:val="174442"/>
          <w:sz w:val="24"/>
          <w:szCs w:val="24"/>
          <w:lang w:eastAsia="ru-RU"/>
        </w:rPr>
        <w:t xml:space="preserve"> </w:t>
      </w:r>
    </w:p>
    <w:p w:rsidR="00042A25" w:rsidRPr="00EE6679" w:rsidRDefault="00042A25" w:rsidP="00EE6679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042A25" w:rsidRPr="00EE6679" w:rsidSect="0004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3AE1"/>
    <w:multiLevelType w:val="multilevel"/>
    <w:tmpl w:val="091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AB"/>
    <w:rsid w:val="00042A25"/>
    <w:rsid w:val="000E29B4"/>
    <w:rsid w:val="0069124B"/>
    <w:rsid w:val="006E41AB"/>
    <w:rsid w:val="008A37E7"/>
    <w:rsid w:val="00EE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4B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69124B"/>
  </w:style>
  <w:style w:type="character" w:styleId="a6">
    <w:name w:val="Hyperlink"/>
    <w:basedOn w:val="a0"/>
    <w:uiPriority w:val="99"/>
    <w:semiHidden/>
    <w:unhideWhenUsed/>
    <w:rsid w:val="00691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spex.biz/job-seekers/beginner/dopolnitelnyj-shtri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%3A%2F%2Fwww.montreal-today.com%2Fimages%2Fenglish.jpg&amp;p=1&amp;text=%D0%B8%D0%BD%D0%BE%D1%81%D1%82%D1%80%D0%B0%D0%BD%D0%BD%D1%8B%D0%B5%20%D1%8F%D0%B7%D1%8B%D0%BA%D0%B0%20%D0%BA%D0%B0%D1%80%D1%82%D0%B8%D0%BD%D0%BA%D0%B8&amp;noreask=1&amp;pos=57&amp;lr=194&amp;rpt=simag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2011-09-29T17:44:00Z</dcterms:created>
  <dcterms:modified xsi:type="dcterms:W3CDTF">2013-03-11T11:51:00Z</dcterms:modified>
</cp:coreProperties>
</file>