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E4" w:rsidRDefault="004650E4" w:rsidP="004650E4">
      <w:pPr>
        <w:shd w:val="clear" w:color="auto" w:fill="FFFFFF"/>
        <w:spacing w:before="100" w:beforeAutospacing="1" w:after="100" w:afterAutospacing="1" w:line="240" w:lineRule="auto"/>
        <w:jc w:val="center"/>
        <w:rPr>
          <w:rFonts w:ascii="Verdana" w:eastAsia="Times New Roman" w:hAnsi="Verdana" w:cs="Times New Roman"/>
          <w:b/>
          <w:bCs/>
          <w:color w:val="2B2B2B"/>
          <w:sz w:val="25"/>
          <w:lang w:eastAsia="ru-RU"/>
        </w:rPr>
      </w:pPr>
      <w:r>
        <w:rPr>
          <w:rFonts w:ascii="Verdana" w:eastAsia="Times New Roman" w:hAnsi="Verdana" w:cs="Times New Roman"/>
          <w:b/>
          <w:bCs/>
          <w:color w:val="2B2B2B"/>
          <w:sz w:val="25"/>
          <w:lang w:eastAsia="ru-RU"/>
        </w:rPr>
        <w:t>Интерактивное обучение.</w:t>
      </w:r>
    </w:p>
    <w:p w:rsidR="004650E4" w:rsidRPr="004650E4" w:rsidRDefault="004650E4" w:rsidP="004650E4">
      <w:pPr>
        <w:shd w:val="clear" w:color="auto" w:fill="FFFFFF"/>
        <w:spacing w:before="100" w:beforeAutospacing="1" w:after="100" w:afterAutospacing="1" w:line="240" w:lineRule="auto"/>
        <w:rPr>
          <w:rFonts w:ascii="Verdana" w:eastAsia="Times New Roman" w:hAnsi="Verdana" w:cs="Times New Roman"/>
          <w:color w:val="2B2B2B"/>
          <w:sz w:val="25"/>
          <w:szCs w:val="25"/>
          <w:lang w:eastAsia="ru-RU"/>
        </w:rPr>
      </w:pPr>
      <w:r w:rsidRPr="004650E4">
        <w:rPr>
          <w:rFonts w:ascii="Verdana" w:eastAsia="Times New Roman" w:hAnsi="Verdana" w:cs="Times New Roman"/>
          <w:b/>
          <w:bCs/>
          <w:color w:val="2B2B2B"/>
          <w:sz w:val="25"/>
          <w:lang w:eastAsia="ru-RU"/>
        </w:rPr>
        <w:t>В педагогике различают несколько моделей обучения:</w:t>
      </w:r>
    </w:p>
    <w:p w:rsidR="004650E4" w:rsidRPr="004650E4" w:rsidRDefault="004650E4" w:rsidP="004650E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proofErr w:type="gramStart"/>
      <w:r w:rsidRPr="004650E4">
        <w:rPr>
          <w:rFonts w:ascii="Verdana" w:eastAsia="Times New Roman" w:hAnsi="Verdana" w:cs="Times New Roman"/>
          <w:color w:val="2B2B2B"/>
          <w:sz w:val="25"/>
          <w:szCs w:val="25"/>
          <w:lang w:eastAsia="ru-RU"/>
        </w:rPr>
        <w:t>пассивная</w:t>
      </w:r>
      <w:proofErr w:type="gramEnd"/>
      <w:r w:rsidRPr="004650E4">
        <w:rPr>
          <w:rFonts w:ascii="Verdana" w:eastAsia="Times New Roman" w:hAnsi="Verdana" w:cs="Times New Roman"/>
          <w:color w:val="2B2B2B"/>
          <w:sz w:val="25"/>
          <w:szCs w:val="25"/>
          <w:lang w:eastAsia="ru-RU"/>
        </w:rPr>
        <w:t xml:space="preserve"> — ученик выступает в роли «объекта» обучения (слушает и смотрит);</w:t>
      </w:r>
    </w:p>
    <w:p w:rsidR="004650E4" w:rsidRPr="004650E4" w:rsidRDefault="004650E4" w:rsidP="004650E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активная — ученик выступает «субъектом» обучения (самостоятельная работа, творческие задания);</w:t>
      </w:r>
    </w:p>
    <w:p w:rsidR="004650E4" w:rsidRPr="004650E4" w:rsidRDefault="004650E4" w:rsidP="004650E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 xml:space="preserve">интерактивная — </w:t>
      </w:r>
      <w:proofErr w:type="spellStart"/>
      <w:r w:rsidRPr="004650E4">
        <w:rPr>
          <w:rFonts w:ascii="Verdana" w:eastAsia="Times New Roman" w:hAnsi="Verdana" w:cs="Times New Roman"/>
          <w:color w:val="2B2B2B"/>
          <w:sz w:val="25"/>
          <w:szCs w:val="25"/>
          <w:lang w:eastAsia="ru-RU"/>
        </w:rPr>
        <w:t>inter</w:t>
      </w:r>
      <w:proofErr w:type="spellEnd"/>
      <w:r w:rsidRPr="004650E4">
        <w:rPr>
          <w:rFonts w:ascii="Verdana" w:eastAsia="Times New Roman" w:hAnsi="Verdana" w:cs="Times New Roman"/>
          <w:color w:val="2B2B2B"/>
          <w:sz w:val="25"/>
          <w:szCs w:val="25"/>
          <w:lang w:eastAsia="ru-RU"/>
        </w:rPr>
        <w:t xml:space="preserve"> (взаимный), </w:t>
      </w:r>
      <w:proofErr w:type="spellStart"/>
      <w:r w:rsidRPr="004650E4">
        <w:rPr>
          <w:rFonts w:ascii="Verdana" w:eastAsia="Times New Roman" w:hAnsi="Verdana" w:cs="Times New Roman"/>
          <w:color w:val="2B2B2B"/>
          <w:sz w:val="25"/>
          <w:szCs w:val="25"/>
          <w:lang w:eastAsia="ru-RU"/>
        </w:rPr>
        <w:t>act</w:t>
      </w:r>
      <w:proofErr w:type="spellEnd"/>
      <w:r w:rsidRPr="004650E4">
        <w:rPr>
          <w:rFonts w:ascii="Verdana" w:eastAsia="Times New Roman" w:hAnsi="Verdana" w:cs="Times New Roman"/>
          <w:color w:val="2B2B2B"/>
          <w:sz w:val="25"/>
          <w:szCs w:val="25"/>
          <w:lang w:eastAsia="ru-RU"/>
        </w:rPr>
        <w:t xml:space="preserve"> (действовать). Процесс обучения осуществляется в условиях постоянного, активного взаимодействия всех обучающихся. Ученик и учитель являются равноправными субъектами обучения.</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 xml:space="preserve">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w:t>
      </w:r>
      <w:proofErr w:type="spellStart"/>
      <w:r w:rsidRPr="004650E4">
        <w:rPr>
          <w:rFonts w:ascii="Verdana" w:eastAsia="Times New Roman" w:hAnsi="Verdana" w:cs="Times New Roman"/>
          <w:color w:val="2B2B2B"/>
          <w:sz w:val="25"/>
          <w:szCs w:val="25"/>
          <w:lang w:eastAsia="ru-RU"/>
        </w:rPr>
        <w:t>рефлексировать</w:t>
      </w:r>
      <w:proofErr w:type="spellEnd"/>
      <w:r w:rsidRPr="004650E4">
        <w:rPr>
          <w:rFonts w:ascii="Verdana" w:eastAsia="Times New Roman" w:hAnsi="Verdana" w:cs="Times New Roman"/>
          <w:color w:val="2B2B2B"/>
          <w:sz w:val="25"/>
          <w:szCs w:val="25"/>
          <w:lang w:eastAsia="ru-RU"/>
        </w:rPr>
        <w:t xml:space="preserve"> по поводу того, что они знают и думают. Исключается доминирование какого-либо участника учебного процесса или какой-либо идеи. Причем происходит это в атмосфере доброжелательности и взаимной поддержки, что позволяет </w:t>
      </w:r>
      <w:proofErr w:type="gramStart"/>
      <w:r w:rsidRPr="004650E4">
        <w:rPr>
          <w:rFonts w:ascii="Verdana" w:eastAsia="Times New Roman" w:hAnsi="Verdana" w:cs="Times New Roman"/>
          <w:color w:val="2B2B2B"/>
          <w:sz w:val="25"/>
          <w:szCs w:val="25"/>
          <w:lang w:eastAsia="ru-RU"/>
        </w:rPr>
        <w:t>не</w:t>
      </w:r>
      <w:proofErr w:type="gramEnd"/>
      <w:r w:rsidRPr="004650E4">
        <w:rPr>
          <w:rFonts w:ascii="Verdana" w:eastAsia="Times New Roman" w:hAnsi="Verdana" w:cs="Times New Roman"/>
          <w:color w:val="2B2B2B"/>
          <w:sz w:val="25"/>
          <w:szCs w:val="25"/>
          <w:lang w:eastAsia="ru-RU"/>
        </w:rPr>
        <w:t xml:space="preserve"> только получать новое знание, но и развивает саму познавательную деятельность, переводит ее на более высокие формы кооперации и сотрудничества. В ходе диалогового обучения (а именно это и предполагает интерактивное обучение) обучающиеся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b/>
          <w:bCs/>
          <w:color w:val="2B2B2B"/>
          <w:sz w:val="25"/>
          <w:lang w:eastAsia="ru-RU"/>
        </w:rPr>
        <w:t>Интерактивное обучение одновременно решает несколько задач:</w:t>
      </w:r>
    </w:p>
    <w:p w:rsidR="004650E4" w:rsidRPr="004650E4" w:rsidRDefault="004650E4" w:rsidP="004650E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 xml:space="preserve">развивает коммуникативные умения и навыки, помогает установлению эмоциональных контактов между </w:t>
      </w:r>
      <w:proofErr w:type="gramStart"/>
      <w:r w:rsidRPr="004650E4">
        <w:rPr>
          <w:rFonts w:ascii="Verdana" w:eastAsia="Times New Roman" w:hAnsi="Verdana" w:cs="Times New Roman"/>
          <w:color w:val="2B2B2B"/>
          <w:sz w:val="25"/>
          <w:szCs w:val="25"/>
          <w:lang w:eastAsia="ru-RU"/>
        </w:rPr>
        <w:t>обучающимися</w:t>
      </w:r>
      <w:proofErr w:type="gramEnd"/>
      <w:r w:rsidRPr="004650E4">
        <w:rPr>
          <w:rFonts w:ascii="Verdana" w:eastAsia="Times New Roman" w:hAnsi="Verdana" w:cs="Times New Roman"/>
          <w:color w:val="2B2B2B"/>
          <w:sz w:val="25"/>
          <w:szCs w:val="25"/>
          <w:lang w:eastAsia="ru-RU"/>
        </w:rPr>
        <w:t>;</w:t>
      </w:r>
    </w:p>
    <w:p w:rsidR="004650E4" w:rsidRPr="004650E4" w:rsidRDefault="004650E4" w:rsidP="004650E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 xml:space="preserve">решает информационную задачу, поскольку обеспечивает </w:t>
      </w:r>
      <w:proofErr w:type="gramStart"/>
      <w:r w:rsidRPr="004650E4">
        <w:rPr>
          <w:rFonts w:ascii="Verdana" w:eastAsia="Times New Roman" w:hAnsi="Verdana" w:cs="Times New Roman"/>
          <w:color w:val="2B2B2B"/>
          <w:sz w:val="25"/>
          <w:szCs w:val="25"/>
          <w:lang w:eastAsia="ru-RU"/>
        </w:rPr>
        <w:t>обучающихся</w:t>
      </w:r>
      <w:proofErr w:type="gramEnd"/>
      <w:r w:rsidRPr="004650E4">
        <w:rPr>
          <w:rFonts w:ascii="Verdana" w:eastAsia="Times New Roman" w:hAnsi="Verdana" w:cs="Times New Roman"/>
          <w:color w:val="2B2B2B"/>
          <w:sz w:val="25"/>
          <w:szCs w:val="25"/>
          <w:lang w:eastAsia="ru-RU"/>
        </w:rPr>
        <w:t xml:space="preserve"> необходимой информацией, без которой невозможно реализовывать совместную деятельность;</w:t>
      </w:r>
    </w:p>
    <w:p w:rsidR="004650E4" w:rsidRPr="004650E4" w:rsidRDefault="004650E4" w:rsidP="004650E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 xml:space="preserve">развивает </w:t>
      </w:r>
      <w:proofErr w:type="spellStart"/>
      <w:r w:rsidRPr="004650E4">
        <w:rPr>
          <w:rFonts w:ascii="Verdana" w:eastAsia="Times New Roman" w:hAnsi="Verdana" w:cs="Times New Roman"/>
          <w:color w:val="2B2B2B"/>
          <w:sz w:val="25"/>
          <w:szCs w:val="25"/>
          <w:lang w:eastAsia="ru-RU"/>
        </w:rPr>
        <w:t>общеучебные</w:t>
      </w:r>
      <w:proofErr w:type="spellEnd"/>
      <w:r w:rsidRPr="004650E4">
        <w:rPr>
          <w:rFonts w:ascii="Verdana" w:eastAsia="Times New Roman" w:hAnsi="Verdana" w:cs="Times New Roman"/>
          <w:color w:val="2B2B2B"/>
          <w:sz w:val="25"/>
          <w:szCs w:val="25"/>
          <w:lang w:eastAsia="ru-RU"/>
        </w:rPr>
        <w:t xml:space="preserve"> умения и навыки (анализ, синтез, постановка целей и пр.), то есть обеспечивает решение обучающих и развивающих задач;</w:t>
      </w:r>
    </w:p>
    <w:p w:rsidR="004650E4" w:rsidRPr="004650E4" w:rsidRDefault="004650E4" w:rsidP="004650E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обеспечивает решение воспитательных задач, поскольку приучает и научает работать в команде, прислушиваться к чужому мнению.</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 xml:space="preserve">Интерактивное обучение отчасти решает еще одну существенную задачу. Речь идет о релаксации, снятии нервной нагрузки, переключении внимания, смене форм деятельности и т. д. В таком понимании интерактивное обучение как форма образовательного </w:t>
      </w:r>
      <w:r w:rsidRPr="004650E4">
        <w:rPr>
          <w:rFonts w:ascii="Verdana" w:eastAsia="Times New Roman" w:hAnsi="Verdana" w:cs="Times New Roman"/>
          <w:color w:val="2B2B2B"/>
          <w:sz w:val="25"/>
          <w:szCs w:val="25"/>
          <w:lang w:eastAsia="ru-RU"/>
        </w:rPr>
        <w:lastRenderedPageBreak/>
        <w:t>процесса действительно способно оптимизировать сущность, содержание и структуру педагогических взаимодействий.</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b/>
          <w:bCs/>
          <w:color w:val="2B2B2B"/>
          <w:sz w:val="25"/>
          <w:lang w:eastAsia="ru-RU"/>
        </w:rPr>
        <w:t>В чём состоит технология интерактивного обучения?</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Под технологией интерактивного обучения (ТИО) мы понимаем систему способов организации взаимодействия педагога и обучающихся в форме учебных игр, гарантирующую педагогически эффективное познавательное общение, в результате которого создаются условия для переживания обучающимися ситуации успеха в учебной деятельности и взаимообогащения их мотивационной, интеллектуальной, эмоциональной и других сфер. Важно квалифицированно направить педагога на достижение поставленных учебных целей.</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b/>
          <w:bCs/>
          <w:color w:val="2B2B2B"/>
          <w:sz w:val="25"/>
          <w:lang w:eastAsia="ru-RU"/>
        </w:rPr>
        <w:t>В этом ему поможет знание структуры процесса обучения с применением ТИО.</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1.</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Ориентация</w:t>
      </w:r>
      <w:r w:rsidRPr="004650E4">
        <w:rPr>
          <w:rFonts w:ascii="Verdana" w:eastAsia="Times New Roman" w:hAnsi="Verdana" w:cs="Times New Roman"/>
          <w:color w:val="2B2B2B"/>
          <w:sz w:val="25"/>
          <w:szCs w:val="25"/>
          <w:lang w:eastAsia="ru-RU"/>
        </w:rPr>
        <w:t>. Этап подготовки участников игры и экспертов. Учитель предлагает режим работы, разрабатывает вместе со школьниками главные цели и задачи занятия, формулирует учебную проблему. Далее он дает характеристику имитации и игровых правил, обзор общего хода игры и выдает пакеты материалов.</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2.</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Подготовка к проведению</w:t>
      </w:r>
      <w:r w:rsidRPr="004650E4">
        <w:rPr>
          <w:rFonts w:ascii="Verdana" w:eastAsia="Times New Roman" w:hAnsi="Verdana" w:cs="Times New Roman"/>
          <w:color w:val="2B2B2B"/>
          <w:sz w:val="25"/>
          <w:szCs w:val="25"/>
          <w:lang w:eastAsia="ru-RU"/>
        </w:rPr>
        <w:t>. Это этап изучения ситуации, инструкций, установок и других материалов. Учитель излагает сценарий, останавливается на игровых задачах, правилах, ролях, игровых процедурах, правилах подсчета очков (составляется табло игры). Обучающиеся собирают дополнительную информацию, консультируются с учителем, обсуждают между собой содержание и процесс игры.</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3.</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Проведение игры</w:t>
      </w:r>
      <w:r w:rsidRPr="004650E4">
        <w:rPr>
          <w:rFonts w:ascii="Verdana" w:eastAsia="Times New Roman" w:hAnsi="Verdana" w:cs="Times New Roman"/>
          <w:color w:val="2B2B2B"/>
          <w:sz w:val="25"/>
          <w:szCs w:val="25"/>
          <w:lang w:eastAsia="ru-RU"/>
        </w:rPr>
        <w:t>. Этот этап включает собственно процесс игры. С момента начала игры никто не имеет права вмешиваться и изменять ее ход. Только ведущий может корректировать действия участников, если они отклоняются от главной цели игры. Учитель, начав игру, не должен без необходимости принимать в ней участие. Его задачи заключаются в том, чтобы следить за игровыми действиями, результатами, подсчетом очков, разъяснять неясности и оказывать по просьбе участников помощь в их работе.</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4.</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Обсуждение игры</w:t>
      </w:r>
      <w:r w:rsidRPr="004650E4">
        <w:rPr>
          <w:rFonts w:ascii="Verdana" w:eastAsia="Times New Roman" w:hAnsi="Verdana" w:cs="Times New Roman"/>
          <w:color w:val="2B2B2B"/>
          <w:sz w:val="25"/>
          <w:szCs w:val="25"/>
          <w:lang w:eastAsia="ru-RU"/>
        </w:rPr>
        <w:t>. Этап анализа, обсуждения и оценки результатов игры. Учитель проводит обсуждение, в ходе которого выступают эксперты, участники обмениваются мнениями, защищают свои позиции и решения, делают выводы, делятся впечатлениями, рассказывают о возникавших по ходу игры трудностях, идеях, приходивших в голову.</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lastRenderedPageBreak/>
        <w:t>Рассмотрим подробно</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color w:val="2B2B2B"/>
          <w:sz w:val="25"/>
          <w:lang w:eastAsia="ru-RU"/>
        </w:rPr>
        <w:t>несколько технологий интерактивного обучения</w:t>
      </w:r>
      <w:r w:rsidRPr="004650E4">
        <w:rPr>
          <w:rFonts w:ascii="Verdana" w:eastAsia="Times New Roman" w:hAnsi="Verdana" w:cs="Times New Roman"/>
          <w:color w:val="2B2B2B"/>
          <w:sz w:val="25"/>
          <w:szCs w:val="25"/>
          <w:lang w:eastAsia="ru-RU"/>
        </w:rPr>
        <w:t>, достаточно широко применяемые мною на уроках. В целом, говоря об интерактивном обучении, понятие возрастных ограничений, на мой взгляд, отсутствует. Одни и те же технологии одинаково хорошо работают и в 5 и в 11 классах.</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Например,</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технология работы в парах или тройках</w:t>
      </w:r>
      <w:r w:rsidRPr="004650E4">
        <w:rPr>
          <w:rFonts w:ascii="Verdana" w:eastAsia="Times New Roman" w:hAnsi="Verdana" w:cs="Times New Roman"/>
          <w:color w:val="2B2B2B"/>
          <w:sz w:val="25"/>
          <w:szCs w:val="25"/>
          <w:lang w:eastAsia="ru-RU"/>
        </w:rPr>
        <w:t>, как постоянных, так и ротационных (сменных). Ни для кого не секрет, что такая технология позволяет успешно отрабатыв</w:t>
      </w:r>
      <w:r>
        <w:rPr>
          <w:rFonts w:ascii="Verdana" w:eastAsia="Times New Roman" w:hAnsi="Verdana" w:cs="Times New Roman"/>
          <w:color w:val="2B2B2B"/>
          <w:sz w:val="25"/>
          <w:szCs w:val="25"/>
          <w:lang w:eastAsia="ru-RU"/>
        </w:rPr>
        <w:t>ать многие аспекты при обучении.</w:t>
      </w:r>
    </w:p>
    <w:p w:rsid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b/>
          <w:bCs/>
          <w:i/>
          <w:iCs/>
          <w:color w:val="2B2B2B"/>
          <w:sz w:val="25"/>
          <w:lang w:eastAsia="ru-RU"/>
        </w:rPr>
        <w:t>Групповая работа</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тоже не нова и хорошо всем известна. Зачастую на своих уроках я использую</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ротационные малые группы</w:t>
      </w:r>
      <w:r w:rsidRPr="004650E4">
        <w:rPr>
          <w:rFonts w:ascii="Verdana" w:eastAsia="Times New Roman" w:hAnsi="Verdana" w:cs="Times New Roman"/>
          <w:color w:val="2B2B2B"/>
          <w:sz w:val="25"/>
          <w:szCs w:val="25"/>
          <w:lang w:eastAsia="ru-RU"/>
        </w:rPr>
        <w:t xml:space="preserve">. </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b/>
          <w:bCs/>
          <w:color w:val="2B2B2B"/>
          <w:sz w:val="25"/>
          <w:lang w:eastAsia="ru-RU"/>
        </w:rPr>
        <w:t>1 этап</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 xml:space="preserve">— опережающее задание, сбор информации по определенному плану об одной из </w:t>
      </w:r>
      <w:r>
        <w:rPr>
          <w:rFonts w:ascii="Verdana" w:eastAsia="Times New Roman" w:hAnsi="Verdana" w:cs="Times New Roman"/>
          <w:color w:val="2B2B2B"/>
          <w:sz w:val="25"/>
          <w:szCs w:val="25"/>
          <w:lang w:eastAsia="ru-RU"/>
        </w:rPr>
        <w:t xml:space="preserve">составляющих </w:t>
      </w:r>
      <w:proofErr w:type="spellStart"/>
      <w:r>
        <w:rPr>
          <w:rFonts w:ascii="Verdana" w:eastAsia="Times New Roman" w:hAnsi="Verdana" w:cs="Times New Roman"/>
          <w:color w:val="2B2B2B"/>
          <w:sz w:val="25"/>
          <w:szCs w:val="25"/>
          <w:lang w:eastAsia="ru-RU"/>
        </w:rPr>
        <w:t>компьютра</w:t>
      </w:r>
      <w:proofErr w:type="spellEnd"/>
      <w:r>
        <w:rPr>
          <w:rFonts w:ascii="Verdana" w:eastAsia="Times New Roman" w:hAnsi="Verdana" w:cs="Times New Roman"/>
          <w:color w:val="2B2B2B"/>
          <w:sz w:val="25"/>
          <w:szCs w:val="25"/>
          <w:lang w:eastAsia="ru-RU"/>
        </w:rPr>
        <w:t>.</w:t>
      </w:r>
      <w:r w:rsidRPr="004650E4">
        <w:rPr>
          <w:rFonts w:ascii="Verdana" w:eastAsia="Times New Roman" w:hAnsi="Verdana" w:cs="Times New Roman"/>
          <w:color w:val="2B2B2B"/>
          <w:sz w:val="25"/>
          <w:szCs w:val="25"/>
          <w:lang w:eastAsia="ru-RU"/>
        </w:rPr>
        <w:br/>
      </w:r>
      <w:r w:rsidRPr="004650E4">
        <w:rPr>
          <w:rFonts w:ascii="Verdana" w:eastAsia="Times New Roman" w:hAnsi="Verdana" w:cs="Times New Roman"/>
          <w:color w:val="2B2B2B"/>
          <w:sz w:val="25"/>
          <w:szCs w:val="25"/>
          <w:lang w:eastAsia="ru-RU"/>
        </w:rPr>
        <w:br/>
      </w:r>
      <w:r w:rsidRPr="004650E4">
        <w:rPr>
          <w:rFonts w:ascii="Verdana" w:eastAsia="Times New Roman" w:hAnsi="Verdana" w:cs="Times New Roman"/>
          <w:b/>
          <w:bCs/>
          <w:color w:val="2B2B2B"/>
          <w:sz w:val="25"/>
          <w:lang w:eastAsia="ru-RU"/>
        </w:rPr>
        <w:t>2 этап</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 xml:space="preserve">— работа в малых группах </w:t>
      </w:r>
      <w:r>
        <w:rPr>
          <w:rFonts w:ascii="Verdana" w:eastAsia="Times New Roman" w:hAnsi="Verdana" w:cs="Times New Roman"/>
          <w:color w:val="2B2B2B"/>
          <w:sz w:val="25"/>
          <w:szCs w:val="25"/>
          <w:lang w:eastAsia="ru-RU"/>
        </w:rPr>
        <w:t>«Устройства вывода». «устройства ввода», «процессор»</w:t>
      </w:r>
      <w:proofErr w:type="gramStart"/>
      <w:r>
        <w:rPr>
          <w:rFonts w:ascii="Verdana" w:eastAsia="Times New Roman" w:hAnsi="Verdana" w:cs="Times New Roman"/>
          <w:color w:val="2B2B2B"/>
          <w:sz w:val="25"/>
          <w:szCs w:val="25"/>
          <w:lang w:eastAsia="ru-RU"/>
        </w:rPr>
        <w:t xml:space="preserve"> .</w:t>
      </w:r>
      <w:proofErr w:type="gramEnd"/>
      <w:r w:rsidRPr="004650E4">
        <w:rPr>
          <w:rFonts w:ascii="Verdana" w:eastAsia="Times New Roman" w:hAnsi="Verdana" w:cs="Times New Roman"/>
          <w:color w:val="2B2B2B"/>
          <w:sz w:val="25"/>
          <w:szCs w:val="25"/>
          <w:lang w:eastAsia="ru-RU"/>
        </w:rPr>
        <w:t>. Ребята делятся найденной информацией, систематизируют ее.</w:t>
      </w:r>
      <w:r w:rsidRPr="004650E4">
        <w:rPr>
          <w:rFonts w:ascii="Verdana" w:eastAsia="Times New Roman" w:hAnsi="Verdana" w:cs="Times New Roman"/>
          <w:color w:val="2B2B2B"/>
          <w:sz w:val="25"/>
          <w:szCs w:val="25"/>
          <w:lang w:eastAsia="ru-RU"/>
        </w:rPr>
        <w:br/>
      </w:r>
      <w:r w:rsidRPr="004650E4">
        <w:rPr>
          <w:rFonts w:ascii="Verdana" w:eastAsia="Times New Roman" w:hAnsi="Verdana" w:cs="Times New Roman"/>
          <w:color w:val="2B2B2B"/>
          <w:sz w:val="25"/>
          <w:szCs w:val="25"/>
          <w:lang w:eastAsia="ru-RU"/>
        </w:rPr>
        <w:br/>
      </w:r>
      <w:r w:rsidRPr="004650E4">
        <w:rPr>
          <w:rFonts w:ascii="Verdana" w:eastAsia="Times New Roman" w:hAnsi="Verdana" w:cs="Times New Roman"/>
          <w:b/>
          <w:bCs/>
          <w:color w:val="2B2B2B"/>
          <w:sz w:val="25"/>
          <w:lang w:eastAsia="ru-RU"/>
        </w:rPr>
        <w:t>3 этап</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 xml:space="preserve">— работа в малых группах </w:t>
      </w:r>
      <w:proofErr w:type="spellStart"/>
      <w:r>
        <w:rPr>
          <w:rFonts w:ascii="Verdana" w:eastAsia="Times New Roman" w:hAnsi="Verdana" w:cs="Times New Roman"/>
          <w:color w:val="2B2B2B"/>
          <w:sz w:val="25"/>
          <w:szCs w:val="25"/>
          <w:lang w:eastAsia="ru-RU"/>
        </w:rPr>
        <w:t>Компьтер</w:t>
      </w:r>
      <w:proofErr w:type="spellEnd"/>
      <w:r w:rsidRPr="004650E4">
        <w:rPr>
          <w:rFonts w:ascii="Verdana" w:eastAsia="Times New Roman" w:hAnsi="Verdana" w:cs="Times New Roman"/>
          <w:color w:val="2B2B2B"/>
          <w:sz w:val="25"/>
          <w:szCs w:val="25"/>
          <w:lang w:eastAsia="ru-RU"/>
        </w:rPr>
        <w:t>. Каждый обучающийся доносит до всего коллектива группы информацию о своей части.</w:t>
      </w:r>
      <w:r w:rsidRPr="004650E4">
        <w:rPr>
          <w:rFonts w:ascii="Verdana" w:eastAsia="Times New Roman" w:hAnsi="Verdana" w:cs="Times New Roman"/>
          <w:color w:val="2B2B2B"/>
          <w:sz w:val="25"/>
          <w:szCs w:val="25"/>
          <w:lang w:eastAsia="ru-RU"/>
        </w:rPr>
        <w:br/>
      </w:r>
      <w:r w:rsidRPr="004650E4">
        <w:rPr>
          <w:rFonts w:ascii="Verdana" w:eastAsia="Times New Roman" w:hAnsi="Verdana" w:cs="Times New Roman"/>
          <w:color w:val="2B2B2B"/>
          <w:sz w:val="25"/>
          <w:szCs w:val="25"/>
          <w:lang w:eastAsia="ru-RU"/>
        </w:rPr>
        <w:br/>
      </w:r>
      <w:r w:rsidRPr="004650E4">
        <w:rPr>
          <w:rFonts w:ascii="Verdana" w:eastAsia="Times New Roman" w:hAnsi="Verdana" w:cs="Times New Roman"/>
          <w:b/>
          <w:bCs/>
          <w:color w:val="2B2B2B"/>
          <w:sz w:val="25"/>
          <w:lang w:eastAsia="ru-RU"/>
        </w:rPr>
        <w:t>4 этап</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 сравниваем заполненные таблицы, дополняем материал, обмениваемся мнениями, готовим мини</w:t>
      </w:r>
      <w:r>
        <w:rPr>
          <w:rFonts w:ascii="Verdana" w:eastAsia="Times New Roman" w:hAnsi="Verdana" w:cs="Times New Roman"/>
          <w:color w:val="2B2B2B"/>
          <w:sz w:val="25"/>
          <w:szCs w:val="25"/>
          <w:lang w:eastAsia="ru-RU"/>
        </w:rPr>
        <w:t>- доклады об устройстве компьютера.</w:t>
      </w:r>
    </w:p>
    <w:p w:rsid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Использование</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технологии «Броуновское движение»</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предполагает движение учеников по всему классу с целью сбора информации по предложенной теме. Часто использую темы «</w:t>
      </w:r>
      <w:r>
        <w:rPr>
          <w:rFonts w:ascii="Verdana" w:eastAsia="Times New Roman" w:hAnsi="Verdana" w:cs="Times New Roman"/>
          <w:color w:val="2B2B2B"/>
          <w:sz w:val="25"/>
          <w:szCs w:val="25"/>
          <w:lang w:eastAsia="ru-RU"/>
        </w:rPr>
        <w:t xml:space="preserve">Устройство компьютера </w:t>
      </w:r>
      <w:r w:rsidRPr="004650E4">
        <w:rPr>
          <w:rFonts w:ascii="Verdana" w:eastAsia="Times New Roman" w:hAnsi="Verdana" w:cs="Times New Roman"/>
          <w:color w:val="2B2B2B"/>
          <w:sz w:val="25"/>
          <w:szCs w:val="25"/>
          <w:lang w:eastAsia="ru-RU"/>
        </w:rPr>
        <w:t>», «</w:t>
      </w:r>
      <w:r>
        <w:rPr>
          <w:rFonts w:ascii="Verdana" w:eastAsia="Times New Roman" w:hAnsi="Verdana" w:cs="Times New Roman"/>
          <w:color w:val="2B2B2B"/>
          <w:sz w:val="25"/>
          <w:szCs w:val="25"/>
          <w:lang w:eastAsia="ru-RU"/>
        </w:rPr>
        <w:t xml:space="preserve">Устройство ввода </w:t>
      </w:r>
      <w:r w:rsidRPr="004650E4">
        <w:rPr>
          <w:rFonts w:ascii="Verdana" w:eastAsia="Times New Roman" w:hAnsi="Verdana" w:cs="Times New Roman"/>
          <w:color w:val="2B2B2B"/>
          <w:sz w:val="25"/>
          <w:szCs w:val="25"/>
          <w:lang w:eastAsia="ru-RU"/>
        </w:rPr>
        <w:t xml:space="preserve">», </w:t>
      </w:r>
      <w:r>
        <w:rPr>
          <w:rFonts w:ascii="Verdana" w:eastAsia="Times New Roman" w:hAnsi="Verdana" w:cs="Times New Roman"/>
          <w:color w:val="2B2B2B"/>
          <w:sz w:val="25"/>
          <w:szCs w:val="25"/>
          <w:lang w:eastAsia="ru-RU"/>
        </w:rPr>
        <w:t xml:space="preserve"> и т.п.</w:t>
      </w:r>
      <w:r w:rsidRPr="004650E4">
        <w:rPr>
          <w:rFonts w:ascii="Verdana" w:eastAsia="Times New Roman" w:hAnsi="Verdana" w:cs="Times New Roman"/>
          <w:color w:val="2B2B2B"/>
          <w:sz w:val="25"/>
          <w:szCs w:val="25"/>
          <w:lang w:eastAsia="ru-RU"/>
        </w:rPr>
        <w:t xml:space="preserve"> Каждый участник получает лист с перечнем вопросов-заданий: «</w:t>
      </w:r>
      <w:r>
        <w:rPr>
          <w:rFonts w:ascii="Verdana" w:eastAsia="Times New Roman" w:hAnsi="Verdana" w:cs="Times New Roman"/>
          <w:color w:val="2B2B2B"/>
          <w:sz w:val="25"/>
          <w:szCs w:val="25"/>
          <w:lang w:eastAsia="ru-RU"/>
        </w:rPr>
        <w:t xml:space="preserve">Какой принтер оптимально поставить в офисе маленькой </w:t>
      </w:r>
      <w:proofErr w:type="gramStart"/>
      <w:r>
        <w:rPr>
          <w:rFonts w:ascii="Verdana" w:eastAsia="Times New Roman" w:hAnsi="Verdana" w:cs="Times New Roman"/>
          <w:color w:val="2B2B2B"/>
          <w:sz w:val="25"/>
          <w:szCs w:val="25"/>
          <w:lang w:eastAsia="ru-RU"/>
        </w:rPr>
        <w:t>фирмы</w:t>
      </w:r>
      <w:proofErr w:type="gramEnd"/>
      <w:r>
        <w:rPr>
          <w:rFonts w:ascii="Verdana" w:eastAsia="Times New Roman" w:hAnsi="Verdana" w:cs="Times New Roman"/>
          <w:color w:val="2B2B2B"/>
          <w:sz w:val="25"/>
          <w:szCs w:val="25"/>
          <w:lang w:eastAsia="ru-RU"/>
        </w:rPr>
        <w:t>?</w:t>
      </w:r>
      <w:r w:rsidRPr="004650E4">
        <w:rPr>
          <w:rFonts w:ascii="Verdana" w:eastAsia="Times New Roman" w:hAnsi="Verdana" w:cs="Times New Roman"/>
          <w:color w:val="2B2B2B"/>
          <w:sz w:val="25"/>
          <w:szCs w:val="25"/>
          <w:lang w:eastAsia="ru-RU"/>
        </w:rPr>
        <w:t>» или «</w:t>
      </w:r>
      <w:proofErr w:type="gramStart"/>
      <w:r>
        <w:rPr>
          <w:rFonts w:ascii="Verdana" w:eastAsia="Times New Roman" w:hAnsi="Verdana" w:cs="Times New Roman"/>
          <w:color w:val="2B2B2B"/>
          <w:sz w:val="25"/>
          <w:szCs w:val="25"/>
          <w:lang w:eastAsia="ru-RU"/>
        </w:rPr>
        <w:t>Какой</w:t>
      </w:r>
      <w:proofErr w:type="gramEnd"/>
      <w:r>
        <w:rPr>
          <w:rFonts w:ascii="Verdana" w:eastAsia="Times New Roman" w:hAnsi="Verdana" w:cs="Times New Roman"/>
          <w:color w:val="2B2B2B"/>
          <w:sz w:val="25"/>
          <w:szCs w:val="25"/>
          <w:lang w:eastAsia="ru-RU"/>
        </w:rPr>
        <w:t xml:space="preserve"> монитор дома у Маши? Почему?</w:t>
      </w:r>
      <w:r w:rsidRPr="004650E4">
        <w:rPr>
          <w:rFonts w:ascii="Verdana" w:eastAsia="Times New Roman" w:hAnsi="Verdana" w:cs="Times New Roman"/>
          <w:color w:val="2B2B2B"/>
          <w:sz w:val="25"/>
          <w:szCs w:val="25"/>
          <w:lang w:eastAsia="ru-RU"/>
        </w:rPr>
        <w:t>», «</w:t>
      </w:r>
      <w:r>
        <w:rPr>
          <w:rFonts w:ascii="Verdana" w:eastAsia="Times New Roman" w:hAnsi="Verdana" w:cs="Times New Roman"/>
          <w:color w:val="2B2B2B"/>
          <w:sz w:val="25"/>
          <w:szCs w:val="25"/>
          <w:lang w:eastAsia="ru-RU"/>
        </w:rPr>
        <w:t>Какой диск (по объему) необходим Славе, если он менеджер по работе с клиентами?</w:t>
      </w:r>
      <w:r w:rsidRPr="004650E4">
        <w:rPr>
          <w:rFonts w:ascii="Verdana" w:eastAsia="Times New Roman" w:hAnsi="Verdana" w:cs="Times New Roman"/>
          <w:color w:val="2B2B2B"/>
          <w:sz w:val="25"/>
          <w:szCs w:val="25"/>
          <w:lang w:eastAsia="ru-RU"/>
        </w:rPr>
        <w:t xml:space="preserve">» </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Иногда использую и такую форму интеракции, как</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«Займи позицию»</w:t>
      </w:r>
      <w:r w:rsidRPr="004650E4">
        <w:rPr>
          <w:rFonts w:ascii="Verdana" w:eastAsia="Times New Roman" w:hAnsi="Verdana" w:cs="Times New Roman"/>
          <w:color w:val="2B2B2B"/>
          <w:sz w:val="25"/>
          <w:szCs w:val="25"/>
          <w:lang w:eastAsia="ru-RU"/>
        </w:rPr>
        <w:t xml:space="preserve">. Зачитывается какое-нибудь утверждение, и ученики должны подойти к плакату со словом «ДА» или «НЕТ». Желательно, чтобы они объяснили свою позицию. Как </w:t>
      </w:r>
      <w:proofErr w:type="gramStart"/>
      <w:r w:rsidRPr="004650E4">
        <w:rPr>
          <w:rFonts w:ascii="Verdana" w:eastAsia="Times New Roman" w:hAnsi="Verdana" w:cs="Times New Roman"/>
          <w:color w:val="2B2B2B"/>
          <w:sz w:val="25"/>
          <w:szCs w:val="25"/>
          <w:lang w:eastAsia="ru-RU"/>
        </w:rPr>
        <w:t>логичное продолжение</w:t>
      </w:r>
      <w:proofErr w:type="gramEnd"/>
      <w:r w:rsidRPr="004650E4">
        <w:rPr>
          <w:rFonts w:ascii="Verdana" w:eastAsia="Times New Roman" w:hAnsi="Verdana" w:cs="Times New Roman"/>
          <w:color w:val="2B2B2B"/>
          <w:sz w:val="25"/>
          <w:szCs w:val="25"/>
          <w:lang w:eastAsia="ru-RU"/>
        </w:rPr>
        <w:t xml:space="preserve"> можно использовать групповую работу.</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При использовании</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технологии «Дерево решений»</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 xml:space="preserve">класс делится на 3 или 4 группы с одинаковым количеством учеников. Каждая группа обсуждает вопрос и делает записи на своем «дереве» (большой лист бумаги), потом группы меняются местами и дописывают на деревьях соседей свои идеи, не критикуя и не </w:t>
      </w:r>
      <w:r w:rsidRPr="004650E4">
        <w:rPr>
          <w:rFonts w:ascii="Verdana" w:eastAsia="Times New Roman" w:hAnsi="Verdana" w:cs="Times New Roman"/>
          <w:color w:val="2B2B2B"/>
          <w:sz w:val="25"/>
          <w:szCs w:val="25"/>
          <w:lang w:eastAsia="ru-RU"/>
        </w:rPr>
        <w:lastRenderedPageBreak/>
        <w:t>исправляя уже имеющиеся на листе. Можно смену групп провести по кругу, можно остановиться на определенном количестве «советников». Группа-хозяин перерабатывает дополнения, предлагает свое конечное решение по данному вопросу, проводим дискуссию, иногда перерастающую в прения сторон (особенно при обсуждении каких-то спорных или противоречивых вопросов). Дерево решений можно использовать, обсуждая плюсы (одна группа) и минусы (вторая группа) какого-то вопроса.</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b/>
          <w:bCs/>
          <w:i/>
          <w:iCs/>
          <w:color w:val="2B2B2B"/>
          <w:sz w:val="25"/>
          <w:lang w:eastAsia="ru-RU"/>
        </w:rPr>
        <w:t>Технология «Карусель»</w:t>
      </w:r>
      <w:r w:rsidRPr="004650E4">
        <w:rPr>
          <w:rFonts w:ascii="Verdana" w:eastAsia="Times New Roman" w:hAnsi="Verdana" w:cs="Times New Roman"/>
          <w:color w:val="2B2B2B"/>
          <w:sz w:val="25"/>
          <w:szCs w:val="25"/>
          <w:lang w:eastAsia="ru-RU"/>
        </w:rPr>
        <w:t>, как и многие интерактивные технологии, позаимствована из психологических тренингов. Детям такой вид работы обычно очень нравится. Образуется два кольца: внутреннее и внешнее. Внутреннее кольцо — это сидящие неподвижно ученики, обращенные лицом к внешнему кругу, а внешнее — это ученики, перемещающиеся по кругу через каждые 30 секунд. Таким образом, они успевают проговорить за несколько минут несколько тем и постараться убедить в своей правоте собеседника. Прекрасно отрабатываются диалоги этикетного характера, темы «знакомство», «национальности», «разговор в общественном месте» и т. д. Ребята увлеченно беседуют, занятие проходит динамично и результативно.</w:t>
      </w:r>
    </w:p>
    <w:p w:rsid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Иногда на обобщающих уроках я использую прием, известный в психологии как</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«Свеча»</w:t>
      </w:r>
      <w:r w:rsidRPr="004650E4">
        <w:rPr>
          <w:rFonts w:ascii="Verdana" w:eastAsia="Times New Roman" w:hAnsi="Verdana" w:cs="Times New Roman"/>
          <w:color w:val="2B2B2B"/>
          <w:sz w:val="25"/>
          <w:szCs w:val="25"/>
          <w:lang w:eastAsia="ru-RU"/>
        </w:rPr>
        <w:t xml:space="preserve">. По кругу передается зажженная свеча, и обучающиеся высказываются о разных аспектах обучения. В старших классах свеча добавляет доверительность разговору, душевность и откровенность. </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Не нуждающаяся в представлении и очень любимая мной</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b/>
          <w:bCs/>
          <w:i/>
          <w:iCs/>
          <w:color w:val="2B2B2B"/>
          <w:sz w:val="25"/>
          <w:lang w:eastAsia="ru-RU"/>
        </w:rPr>
        <w:t>технология «Мозговой штурм»</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прочно поселилась у нас на уроках. Она прекрасно стимулирует творческую активность. Участникам обсуждения предлагают высказывать как можно большее количество вариантов решения, в том числе самых фантастических (время обсуждения проблемы ограничивается обычно 1–5 минутами). Затем из общего числа высказанных идей отбирают наиболее удачные, которые могут быть использованы на практике. Прекрасно подходит для обсуждения проблемных вопросов (здоровье, спорт, молодежь, система образования).</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t>В рамках изучения</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i/>
          <w:iCs/>
          <w:color w:val="2B2B2B"/>
          <w:sz w:val="25"/>
          <w:lang w:eastAsia="ru-RU"/>
        </w:rPr>
        <w:t>темы «Деньги»</w:t>
      </w:r>
      <w:r w:rsidRPr="004650E4">
        <w:rPr>
          <w:rFonts w:ascii="Verdana" w:eastAsia="Times New Roman" w:hAnsi="Verdana" w:cs="Times New Roman"/>
          <w:color w:val="2B2B2B"/>
          <w:sz w:val="25"/>
          <w:lang w:eastAsia="ru-RU"/>
        </w:rPr>
        <w:t> </w:t>
      </w:r>
      <w:r w:rsidRPr="004650E4">
        <w:rPr>
          <w:rFonts w:ascii="Verdana" w:eastAsia="Times New Roman" w:hAnsi="Verdana" w:cs="Times New Roman"/>
          <w:color w:val="2B2B2B"/>
          <w:sz w:val="25"/>
          <w:szCs w:val="25"/>
          <w:lang w:eastAsia="ru-RU"/>
        </w:rPr>
        <w:t>мы традиционно проводим круглый стол с целью «найти себе спонсора». Группа спонсоров выслушивает доводы нуждающихся в материальной поддержке кандидатов (роли распределены заранее: студент, нуждающийся в стипендии; иммигрант, ищущий средства для изучения языка; мать-одиночка хочет дать хорошее образование сыну и т. д.), задает вопросы, создает ситуацию соперничества и распоряжается материальными средствами. Задача каждого участника доказать, что именно он достоин гранта.</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Verdana" w:eastAsia="Times New Roman" w:hAnsi="Verdana" w:cs="Times New Roman"/>
          <w:color w:val="2B2B2B"/>
          <w:sz w:val="25"/>
          <w:szCs w:val="25"/>
          <w:lang w:eastAsia="ru-RU"/>
        </w:rPr>
        <w:lastRenderedPageBreak/>
        <w:t>Хочется еще раз подчеркнуть, что эти технологии позволяют не только успешно решать задачи подготовки педагога современной школы, но и значительно интенсифицируют этот процесс и становятся условием повышения качества обучения.</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eastAsia="ru-RU"/>
        </w:rPr>
      </w:pPr>
      <w:r w:rsidRPr="004650E4">
        <w:rPr>
          <w:rFonts w:ascii="Courier New" w:eastAsia="Times New Roman" w:hAnsi="Courier New" w:cs="Courier New"/>
          <w:b/>
          <w:bCs/>
          <w:color w:val="006CB8"/>
          <w:sz w:val="20"/>
          <w:lang w:eastAsia="ru-RU"/>
        </w:rPr>
        <w:t>[</w:t>
      </w:r>
      <w:proofErr w:type="spellStart"/>
      <w:r w:rsidRPr="004650E4">
        <w:rPr>
          <w:rFonts w:ascii="Courier New" w:eastAsia="Times New Roman" w:hAnsi="Courier New" w:cs="Courier New"/>
          <w:b/>
          <w:bCs/>
          <w:color w:val="006CB8"/>
          <w:sz w:val="20"/>
          <w:lang w:eastAsia="ru-RU"/>
        </w:rPr>
        <w:t>links&amp;resources</w:t>
      </w:r>
      <w:proofErr w:type="spellEnd"/>
      <w:r w:rsidRPr="004650E4">
        <w:rPr>
          <w:rFonts w:ascii="Courier New" w:eastAsia="Times New Roman" w:hAnsi="Courier New" w:cs="Courier New"/>
          <w:b/>
          <w:bCs/>
          <w:color w:val="006CB8"/>
          <w:sz w:val="20"/>
          <w:lang w:eastAsia="ru-RU"/>
        </w:rPr>
        <w:t>]</w:t>
      </w:r>
    </w:p>
    <w:p w:rsidR="004650E4" w:rsidRPr="004650E4" w:rsidRDefault="004650E4" w:rsidP="004650E4">
      <w:pPr>
        <w:shd w:val="clear" w:color="auto" w:fill="FFFFFF"/>
        <w:spacing w:before="100" w:beforeAutospacing="1" w:after="100" w:afterAutospacing="1" w:line="240" w:lineRule="auto"/>
        <w:jc w:val="both"/>
        <w:rPr>
          <w:rFonts w:ascii="Verdana" w:eastAsia="Times New Roman" w:hAnsi="Verdana" w:cs="Times New Roman"/>
          <w:color w:val="2B2B2B"/>
          <w:sz w:val="25"/>
          <w:szCs w:val="25"/>
          <w:lang w:val="en-US" w:eastAsia="ru-RU"/>
        </w:rPr>
      </w:pPr>
      <w:r w:rsidRPr="004650E4">
        <w:rPr>
          <w:rFonts w:ascii="Verdana" w:eastAsia="Times New Roman" w:hAnsi="Verdana" w:cs="Times New Roman"/>
          <w:color w:val="006CB8"/>
          <w:sz w:val="25"/>
          <w:szCs w:val="25"/>
          <w:shd w:val="clear" w:color="auto" w:fill="BFD1EA"/>
          <w:lang w:eastAsia="ru-RU"/>
        </w:rPr>
        <w:t xml:space="preserve">1. </w:t>
      </w:r>
      <w:proofErr w:type="spellStart"/>
      <w:r w:rsidRPr="004650E4">
        <w:rPr>
          <w:rFonts w:ascii="Verdana" w:eastAsia="Times New Roman" w:hAnsi="Verdana" w:cs="Times New Roman"/>
          <w:color w:val="006CB8"/>
          <w:sz w:val="25"/>
          <w:szCs w:val="25"/>
          <w:shd w:val="clear" w:color="auto" w:fill="BFD1EA"/>
          <w:lang w:eastAsia="ru-RU"/>
        </w:rPr>
        <w:t>Вайсен</w:t>
      </w:r>
      <w:proofErr w:type="spellEnd"/>
      <w:r w:rsidRPr="004650E4">
        <w:rPr>
          <w:rFonts w:ascii="Verdana" w:eastAsia="Times New Roman" w:hAnsi="Verdana" w:cs="Times New Roman"/>
          <w:color w:val="006CB8"/>
          <w:sz w:val="25"/>
          <w:szCs w:val="25"/>
          <w:shd w:val="clear" w:color="auto" w:fill="BFD1EA"/>
          <w:lang w:eastAsia="ru-RU"/>
        </w:rPr>
        <w:t xml:space="preserve"> Р., Оли </w:t>
      </w:r>
      <w:proofErr w:type="gramStart"/>
      <w:r w:rsidRPr="004650E4">
        <w:rPr>
          <w:rFonts w:ascii="Verdana" w:eastAsia="Times New Roman" w:hAnsi="Verdana" w:cs="Times New Roman"/>
          <w:color w:val="006CB8"/>
          <w:sz w:val="25"/>
          <w:szCs w:val="25"/>
          <w:shd w:val="clear" w:color="auto" w:fill="BFD1EA"/>
          <w:lang w:eastAsia="ru-RU"/>
        </w:rPr>
        <w:t>Дж</w:t>
      </w:r>
      <w:proofErr w:type="gramEnd"/>
      <w:r w:rsidRPr="004650E4">
        <w:rPr>
          <w:rFonts w:ascii="Verdana" w:eastAsia="Times New Roman" w:hAnsi="Verdana" w:cs="Times New Roman"/>
          <w:color w:val="006CB8"/>
          <w:sz w:val="25"/>
          <w:szCs w:val="25"/>
          <w:shd w:val="clear" w:color="auto" w:fill="BFD1EA"/>
          <w:lang w:eastAsia="ru-RU"/>
        </w:rPr>
        <w:t xml:space="preserve">., Эванс В., Ли Дж., </w:t>
      </w:r>
      <w:proofErr w:type="spellStart"/>
      <w:r w:rsidRPr="004650E4">
        <w:rPr>
          <w:rFonts w:ascii="Verdana" w:eastAsia="Times New Roman" w:hAnsi="Verdana" w:cs="Times New Roman"/>
          <w:color w:val="006CB8"/>
          <w:sz w:val="25"/>
          <w:szCs w:val="25"/>
          <w:shd w:val="clear" w:color="auto" w:fill="BFD1EA"/>
          <w:lang w:eastAsia="ru-RU"/>
        </w:rPr>
        <w:t>Спрунгер</w:t>
      </w:r>
      <w:proofErr w:type="spellEnd"/>
      <w:r w:rsidRPr="004650E4">
        <w:rPr>
          <w:rFonts w:ascii="Verdana" w:eastAsia="Times New Roman" w:hAnsi="Verdana" w:cs="Times New Roman"/>
          <w:color w:val="006CB8"/>
          <w:sz w:val="25"/>
          <w:szCs w:val="25"/>
          <w:shd w:val="clear" w:color="auto" w:fill="BFD1EA"/>
          <w:lang w:eastAsia="ru-RU"/>
        </w:rPr>
        <w:t xml:space="preserve"> Б., </w:t>
      </w:r>
      <w:proofErr w:type="spellStart"/>
      <w:r w:rsidRPr="004650E4">
        <w:rPr>
          <w:rFonts w:ascii="Verdana" w:eastAsia="Times New Roman" w:hAnsi="Verdana" w:cs="Times New Roman"/>
          <w:color w:val="006CB8"/>
          <w:sz w:val="25"/>
          <w:szCs w:val="25"/>
          <w:shd w:val="clear" w:color="auto" w:fill="BFD1EA"/>
          <w:lang w:eastAsia="ru-RU"/>
        </w:rPr>
        <w:t>Пеллаукс</w:t>
      </w:r>
      <w:proofErr w:type="spellEnd"/>
      <w:r w:rsidRPr="004650E4">
        <w:rPr>
          <w:rFonts w:ascii="Verdana" w:eastAsia="Times New Roman" w:hAnsi="Verdana" w:cs="Times New Roman"/>
          <w:color w:val="006CB8"/>
          <w:sz w:val="25"/>
          <w:szCs w:val="25"/>
          <w:shd w:val="clear" w:color="auto" w:fill="BFD1EA"/>
          <w:lang w:eastAsia="ru-RU"/>
        </w:rPr>
        <w:t xml:space="preserve"> Д. Обучение жизненным навыкам в школах. — М. Вита-Пресс, 1996. — 66 с.</w:t>
      </w:r>
      <w:r w:rsidRPr="004650E4">
        <w:rPr>
          <w:rFonts w:ascii="Verdana" w:eastAsia="Times New Roman" w:hAnsi="Verdana" w:cs="Times New Roman"/>
          <w:color w:val="006CB8"/>
          <w:sz w:val="25"/>
          <w:szCs w:val="25"/>
          <w:shd w:val="clear" w:color="auto" w:fill="BFD1EA"/>
          <w:lang w:eastAsia="ru-RU"/>
        </w:rPr>
        <w:br/>
        <w:t>2. Воронкова Л.В. Игровые программы. Аттракционы, шуточные забавы, сюжетно–ролевые игры. — М.: Педагогическое общество России, 2003. — 80 с.</w:t>
      </w:r>
      <w:r w:rsidRPr="004650E4">
        <w:rPr>
          <w:rFonts w:ascii="Verdana" w:eastAsia="Times New Roman" w:hAnsi="Verdana" w:cs="Times New Roman"/>
          <w:color w:val="006CB8"/>
          <w:sz w:val="25"/>
          <w:szCs w:val="25"/>
          <w:shd w:val="clear" w:color="auto" w:fill="BFD1EA"/>
          <w:lang w:eastAsia="ru-RU"/>
        </w:rPr>
        <w:br/>
      </w:r>
      <w:r>
        <w:rPr>
          <w:rFonts w:ascii="Verdana" w:eastAsia="Times New Roman" w:hAnsi="Verdana" w:cs="Times New Roman"/>
          <w:color w:val="006CB8"/>
          <w:sz w:val="25"/>
          <w:szCs w:val="25"/>
          <w:shd w:val="clear" w:color="auto" w:fill="BFD1EA"/>
          <w:lang w:eastAsia="ru-RU"/>
        </w:rPr>
        <w:t>3</w:t>
      </w:r>
      <w:r w:rsidRPr="004650E4">
        <w:rPr>
          <w:rFonts w:ascii="Verdana" w:eastAsia="Times New Roman" w:hAnsi="Verdana" w:cs="Times New Roman"/>
          <w:color w:val="006CB8"/>
          <w:sz w:val="25"/>
          <w:szCs w:val="25"/>
          <w:shd w:val="clear" w:color="auto" w:fill="BFD1EA"/>
          <w:lang w:eastAsia="ru-RU"/>
        </w:rPr>
        <w:t xml:space="preserve">. Игры — обучение, тренинг, досуг / под ред. В.В. </w:t>
      </w:r>
      <w:proofErr w:type="spellStart"/>
      <w:r w:rsidRPr="004650E4">
        <w:rPr>
          <w:rFonts w:ascii="Verdana" w:eastAsia="Times New Roman" w:hAnsi="Verdana" w:cs="Times New Roman"/>
          <w:color w:val="006CB8"/>
          <w:sz w:val="25"/>
          <w:szCs w:val="25"/>
          <w:shd w:val="clear" w:color="auto" w:fill="BFD1EA"/>
          <w:lang w:eastAsia="ru-RU"/>
        </w:rPr>
        <w:t>Петрусинского</w:t>
      </w:r>
      <w:proofErr w:type="spellEnd"/>
      <w:r w:rsidRPr="004650E4">
        <w:rPr>
          <w:rFonts w:ascii="Verdana" w:eastAsia="Times New Roman" w:hAnsi="Verdana" w:cs="Times New Roman"/>
          <w:color w:val="006CB8"/>
          <w:sz w:val="25"/>
          <w:szCs w:val="25"/>
          <w:shd w:val="clear" w:color="auto" w:fill="BFD1EA"/>
          <w:lang w:eastAsia="ru-RU"/>
        </w:rPr>
        <w:t>. — М.: Новая школа, 2004. — 382 с.</w:t>
      </w:r>
      <w:r w:rsidRPr="004650E4">
        <w:rPr>
          <w:rFonts w:ascii="Verdana" w:eastAsia="Times New Roman" w:hAnsi="Verdana" w:cs="Times New Roman"/>
          <w:color w:val="006CB8"/>
          <w:sz w:val="25"/>
          <w:szCs w:val="25"/>
          <w:shd w:val="clear" w:color="auto" w:fill="BFD1EA"/>
          <w:lang w:eastAsia="ru-RU"/>
        </w:rPr>
        <w:br/>
      </w:r>
      <w:r>
        <w:rPr>
          <w:rFonts w:ascii="Verdana" w:eastAsia="Times New Roman" w:hAnsi="Verdana" w:cs="Times New Roman"/>
          <w:color w:val="006CB8"/>
          <w:sz w:val="25"/>
          <w:szCs w:val="25"/>
          <w:shd w:val="clear" w:color="auto" w:fill="BFD1EA"/>
          <w:lang w:eastAsia="ru-RU"/>
        </w:rPr>
        <w:t>4</w:t>
      </w:r>
      <w:r w:rsidRPr="004650E4">
        <w:rPr>
          <w:rFonts w:ascii="Verdana" w:eastAsia="Times New Roman" w:hAnsi="Verdana" w:cs="Times New Roman"/>
          <w:color w:val="006CB8"/>
          <w:sz w:val="25"/>
          <w:szCs w:val="25"/>
          <w:shd w:val="clear" w:color="auto" w:fill="BFD1EA"/>
          <w:lang w:eastAsia="ru-RU"/>
        </w:rPr>
        <w:t>. Инновационные процессы в школе: организация и управление. — Владимир, 1995. — 69 с.</w:t>
      </w:r>
      <w:r w:rsidRPr="004650E4">
        <w:rPr>
          <w:rFonts w:ascii="Verdana" w:eastAsia="Times New Roman" w:hAnsi="Verdana" w:cs="Times New Roman"/>
          <w:color w:val="006CB8"/>
          <w:sz w:val="25"/>
          <w:szCs w:val="25"/>
          <w:shd w:val="clear" w:color="auto" w:fill="BFD1EA"/>
          <w:lang w:eastAsia="ru-RU"/>
        </w:rPr>
        <w:br/>
        <w:t>6. Колесникова О.А. Ролевые игры в обучении иностранным языкам // ИЯШ. — 1989. — № 4. — С. 14–16.</w:t>
      </w:r>
      <w:r w:rsidRPr="004650E4">
        <w:rPr>
          <w:rFonts w:ascii="Verdana" w:eastAsia="Times New Roman" w:hAnsi="Verdana" w:cs="Times New Roman"/>
          <w:color w:val="006CB8"/>
          <w:sz w:val="25"/>
          <w:szCs w:val="25"/>
          <w:shd w:val="clear" w:color="auto" w:fill="BFD1EA"/>
          <w:lang w:eastAsia="ru-RU"/>
        </w:rPr>
        <w:br/>
        <w:t>7. Конышева А.В. Игровой метод в обучении иностранным языкам. — СПб</w:t>
      </w:r>
      <w:proofErr w:type="gramStart"/>
      <w:r w:rsidRPr="004650E4">
        <w:rPr>
          <w:rFonts w:ascii="Verdana" w:eastAsia="Times New Roman" w:hAnsi="Verdana" w:cs="Times New Roman"/>
          <w:color w:val="006CB8"/>
          <w:sz w:val="25"/>
          <w:szCs w:val="25"/>
          <w:shd w:val="clear" w:color="auto" w:fill="BFD1EA"/>
          <w:lang w:eastAsia="ru-RU"/>
        </w:rPr>
        <w:t xml:space="preserve">.: </w:t>
      </w:r>
      <w:proofErr w:type="gramEnd"/>
      <w:r w:rsidRPr="004650E4">
        <w:rPr>
          <w:rFonts w:ascii="Verdana" w:eastAsia="Times New Roman" w:hAnsi="Verdana" w:cs="Times New Roman"/>
          <w:color w:val="006CB8"/>
          <w:sz w:val="25"/>
          <w:szCs w:val="25"/>
          <w:shd w:val="clear" w:color="auto" w:fill="BFD1EA"/>
          <w:lang w:eastAsia="ru-RU"/>
        </w:rPr>
        <w:t>КАРО, Мн.: Изд-во «Четыре четверти», 2006. — 192 с.</w:t>
      </w:r>
      <w:r w:rsidRPr="004650E4">
        <w:rPr>
          <w:rFonts w:ascii="Verdana" w:eastAsia="Times New Roman" w:hAnsi="Verdana" w:cs="Times New Roman"/>
          <w:color w:val="006CB8"/>
          <w:sz w:val="25"/>
          <w:szCs w:val="25"/>
          <w:shd w:val="clear" w:color="auto" w:fill="BFD1EA"/>
          <w:lang w:eastAsia="ru-RU"/>
        </w:rPr>
        <w:br/>
        <w:t xml:space="preserve">8. </w:t>
      </w:r>
      <w:proofErr w:type="spellStart"/>
      <w:r w:rsidRPr="004650E4">
        <w:rPr>
          <w:rFonts w:ascii="Verdana" w:eastAsia="Times New Roman" w:hAnsi="Verdana" w:cs="Times New Roman"/>
          <w:color w:val="006CB8"/>
          <w:sz w:val="25"/>
          <w:szCs w:val="25"/>
          <w:shd w:val="clear" w:color="auto" w:fill="BFD1EA"/>
          <w:lang w:eastAsia="ru-RU"/>
        </w:rPr>
        <w:t>Кулапов</w:t>
      </w:r>
      <w:proofErr w:type="spellEnd"/>
      <w:r w:rsidRPr="004650E4">
        <w:rPr>
          <w:rFonts w:ascii="Verdana" w:eastAsia="Times New Roman" w:hAnsi="Verdana" w:cs="Times New Roman"/>
          <w:color w:val="006CB8"/>
          <w:sz w:val="25"/>
          <w:szCs w:val="25"/>
          <w:shd w:val="clear" w:color="auto" w:fill="BFD1EA"/>
          <w:lang w:eastAsia="ru-RU"/>
        </w:rPr>
        <w:t xml:space="preserve"> М.Н. Практикум: ролевые и деловые игры. — М.: Экзамен, 2003. — 126 с.</w:t>
      </w:r>
      <w:r w:rsidRPr="004650E4">
        <w:rPr>
          <w:rFonts w:ascii="Verdana" w:eastAsia="Times New Roman" w:hAnsi="Verdana" w:cs="Times New Roman"/>
          <w:color w:val="006CB8"/>
          <w:sz w:val="25"/>
          <w:szCs w:val="25"/>
          <w:shd w:val="clear" w:color="auto" w:fill="BFD1EA"/>
          <w:lang w:eastAsia="ru-RU"/>
        </w:rPr>
        <w:br/>
        <w:t>9. Курбатова М.Ю. Игровые приёмы обучения грамматике английского языка на начальном этапе. // ИЯШ. — 2006. — № 3.</w:t>
      </w:r>
      <w:r w:rsidRPr="004650E4">
        <w:rPr>
          <w:rFonts w:ascii="Verdana" w:eastAsia="Times New Roman" w:hAnsi="Verdana" w:cs="Times New Roman"/>
          <w:color w:val="006CB8"/>
          <w:sz w:val="25"/>
          <w:szCs w:val="25"/>
          <w:shd w:val="clear" w:color="auto" w:fill="BFD1EA"/>
          <w:lang w:eastAsia="ru-RU"/>
        </w:rPr>
        <w:br/>
        <w:t xml:space="preserve">10. </w:t>
      </w:r>
      <w:proofErr w:type="spellStart"/>
      <w:r w:rsidRPr="004650E4">
        <w:rPr>
          <w:rFonts w:ascii="Verdana" w:eastAsia="Times New Roman" w:hAnsi="Verdana" w:cs="Times New Roman"/>
          <w:color w:val="006CB8"/>
          <w:sz w:val="25"/>
          <w:szCs w:val="25"/>
          <w:shd w:val="clear" w:color="auto" w:fill="BFD1EA"/>
          <w:lang w:eastAsia="ru-RU"/>
        </w:rPr>
        <w:t>Ливингстоун</w:t>
      </w:r>
      <w:proofErr w:type="spellEnd"/>
      <w:r w:rsidRPr="004650E4">
        <w:rPr>
          <w:rFonts w:ascii="Verdana" w:eastAsia="Times New Roman" w:hAnsi="Verdana" w:cs="Times New Roman"/>
          <w:color w:val="006CB8"/>
          <w:sz w:val="25"/>
          <w:szCs w:val="25"/>
          <w:shd w:val="clear" w:color="auto" w:fill="BFD1EA"/>
          <w:lang w:eastAsia="ru-RU"/>
        </w:rPr>
        <w:t xml:space="preserve"> К. Ролевые игры в обучении иностранным языкам. — М.: Высшая школа, 1988. — 169 с.</w:t>
      </w:r>
      <w:r w:rsidRPr="004650E4">
        <w:rPr>
          <w:rFonts w:ascii="Verdana" w:eastAsia="Times New Roman" w:hAnsi="Verdana" w:cs="Times New Roman"/>
          <w:color w:val="006CB8"/>
          <w:sz w:val="25"/>
          <w:szCs w:val="25"/>
          <w:shd w:val="clear" w:color="auto" w:fill="BFD1EA"/>
          <w:lang w:eastAsia="ru-RU"/>
        </w:rPr>
        <w:br/>
        <w:t xml:space="preserve">11. </w:t>
      </w:r>
      <w:proofErr w:type="spellStart"/>
      <w:r w:rsidRPr="004650E4">
        <w:rPr>
          <w:rFonts w:ascii="Verdana" w:eastAsia="Times New Roman" w:hAnsi="Verdana" w:cs="Times New Roman"/>
          <w:color w:val="006CB8"/>
          <w:sz w:val="25"/>
          <w:szCs w:val="25"/>
          <w:shd w:val="clear" w:color="auto" w:fill="BFD1EA"/>
          <w:lang w:eastAsia="ru-RU"/>
        </w:rPr>
        <w:t>Мильруд</w:t>
      </w:r>
      <w:proofErr w:type="spellEnd"/>
      <w:r w:rsidRPr="004650E4">
        <w:rPr>
          <w:rFonts w:ascii="Verdana" w:eastAsia="Times New Roman" w:hAnsi="Verdana" w:cs="Times New Roman"/>
          <w:color w:val="006CB8"/>
          <w:sz w:val="25"/>
          <w:szCs w:val="25"/>
          <w:shd w:val="clear" w:color="auto" w:fill="BFD1EA"/>
          <w:lang w:eastAsia="ru-RU"/>
        </w:rPr>
        <w:t xml:space="preserve"> Р.П. Организация ролевой игры на уроке. // ИЯШ. v1987. — № 3.</w:t>
      </w:r>
      <w:r w:rsidRPr="004650E4">
        <w:rPr>
          <w:rFonts w:ascii="Verdana" w:eastAsia="Times New Roman" w:hAnsi="Verdana" w:cs="Times New Roman"/>
          <w:color w:val="006CB8"/>
          <w:sz w:val="25"/>
          <w:szCs w:val="25"/>
          <w:shd w:val="clear" w:color="auto" w:fill="BFD1EA"/>
          <w:lang w:eastAsia="ru-RU"/>
        </w:rPr>
        <w:br/>
        <w:t xml:space="preserve">12. </w:t>
      </w:r>
      <w:proofErr w:type="spellStart"/>
      <w:r w:rsidRPr="004650E4">
        <w:rPr>
          <w:rFonts w:ascii="Verdana" w:eastAsia="Times New Roman" w:hAnsi="Verdana" w:cs="Times New Roman"/>
          <w:color w:val="006CB8"/>
          <w:sz w:val="25"/>
          <w:szCs w:val="25"/>
          <w:shd w:val="clear" w:color="auto" w:fill="BFD1EA"/>
          <w:lang w:eastAsia="ru-RU"/>
        </w:rPr>
        <w:t>Пидкасистый</w:t>
      </w:r>
      <w:proofErr w:type="spellEnd"/>
      <w:r w:rsidRPr="004650E4">
        <w:rPr>
          <w:rFonts w:ascii="Verdana" w:eastAsia="Times New Roman" w:hAnsi="Verdana" w:cs="Times New Roman"/>
          <w:color w:val="006CB8"/>
          <w:sz w:val="25"/>
          <w:szCs w:val="25"/>
          <w:shd w:val="clear" w:color="auto" w:fill="BFD1EA"/>
          <w:lang w:eastAsia="ru-RU"/>
        </w:rPr>
        <w:t xml:space="preserve"> П.И., </w:t>
      </w:r>
      <w:proofErr w:type="spellStart"/>
      <w:r w:rsidRPr="004650E4">
        <w:rPr>
          <w:rFonts w:ascii="Verdana" w:eastAsia="Times New Roman" w:hAnsi="Verdana" w:cs="Times New Roman"/>
          <w:color w:val="006CB8"/>
          <w:sz w:val="25"/>
          <w:szCs w:val="25"/>
          <w:shd w:val="clear" w:color="auto" w:fill="BFD1EA"/>
          <w:lang w:eastAsia="ru-RU"/>
        </w:rPr>
        <w:t>Хайдаров</w:t>
      </w:r>
      <w:proofErr w:type="spellEnd"/>
      <w:r w:rsidRPr="004650E4">
        <w:rPr>
          <w:rFonts w:ascii="Verdana" w:eastAsia="Times New Roman" w:hAnsi="Verdana" w:cs="Times New Roman"/>
          <w:color w:val="006CB8"/>
          <w:sz w:val="25"/>
          <w:szCs w:val="25"/>
          <w:shd w:val="clear" w:color="auto" w:fill="BFD1EA"/>
          <w:lang w:eastAsia="ru-RU"/>
        </w:rPr>
        <w:t xml:space="preserve"> Ж.С. Технология игры в обучении и развитии. — М.: </w:t>
      </w:r>
      <w:proofErr w:type="spellStart"/>
      <w:r w:rsidRPr="004650E4">
        <w:rPr>
          <w:rFonts w:ascii="Verdana" w:eastAsia="Times New Roman" w:hAnsi="Verdana" w:cs="Times New Roman"/>
          <w:color w:val="006CB8"/>
          <w:sz w:val="25"/>
          <w:szCs w:val="25"/>
          <w:shd w:val="clear" w:color="auto" w:fill="BFD1EA"/>
          <w:lang w:eastAsia="ru-RU"/>
        </w:rPr>
        <w:t>Роспедагенство</w:t>
      </w:r>
      <w:proofErr w:type="spellEnd"/>
      <w:r w:rsidRPr="004650E4">
        <w:rPr>
          <w:rFonts w:ascii="Verdana" w:eastAsia="Times New Roman" w:hAnsi="Verdana" w:cs="Times New Roman"/>
          <w:color w:val="006CB8"/>
          <w:sz w:val="25"/>
          <w:szCs w:val="25"/>
          <w:shd w:val="clear" w:color="auto" w:fill="BFD1EA"/>
          <w:lang w:eastAsia="ru-RU"/>
        </w:rPr>
        <w:t>, 1996. — 268 с.</w:t>
      </w:r>
      <w:r w:rsidRPr="004650E4">
        <w:rPr>
          <w:rFonts w:ascii="Verdana" w:eastAsia="Times New Roman" w:hAnsi="Verdana" w:cs="Times New Roman"/>
          <w:color w:val="006CB8"/>
          <w:sz w:val="25"/>
          <w:szCs w:val="25"/>
          <w:shd w:val="clear" w:color="auto" w:fill="BFD1EA"/>
          <w:lang w:eastAsia="ru-RU"/>
        </w:rPr>
        <w:br/>
        <w:t>13. Рабинович Ф.М. И др. Ролевая игра — эффективный прием обучения говорению // ИЯШ. — 1983. — № 6. — С. 68–74.</w:t>
      </w:r>
      <w:r w:rsidRPr="004650E4">
        <w:rPr>
          <w:rFonts w:ascii="Verdana" w:eastAsia="Times New Roman" w:hAnsi="Verdana" w:cs="Times New Roman"/>
          <w:color w:val="006CB8"/>
          <w:sz w:val="25"/>
          <w:szCs w:val="25"/>
          <w:shd w:val="clear" w:color="auto" w:fill="BFD1EA"/>
          <w:lang w:eastAsia="ru-RU"/>
        </w:rPr>
        <w:br/>
        <w:t xml:space="preserve">14. Суворова Н. «Интерактивное обучение: Новые подходы». — М., 2005. — 268 </w:t>
      </w:r>
      <w:proofErr w:type="spellStart"/>
      <w:r w:rsidRPr="004650E4">
        <w:rPr>
          <w:rFonts w:ascii="Verdana" w:eastAsia="Times New Roman" w:hAnsi="Verdana" w:cs="Times New Roman"/>
          <w:color w:val="006CB8"/>
          <w:sz w:val="25"/>
          <w:szCs w:val="25"/>
          <w:shd w:val="clear" w:color="auto" w:fill="BFD1EA"/>
          <w:lang w:eastAsia="ru-RU"/>
        </w:rPr>
        <w:t>c</w:t>
      </w:r>
      <w:proofErr w:type="spellEnd"/>
      <w:r w:rsidRPr="004650E4">
        <w:rPr>
          <w:rFonts w:ascii="Verdana" w:eastAsia="Times New Roman" w:hAnsi="Verdana" w:cs="Times New Roman"/>
          <w:color w:val="006CB8"/>
          <w:sz w:val="25"/>
          <w:szCs w:val="25"/>
          <w:shd w:val="clear" w:color="auto" w:fill="BFD1EA"/>
          <w:lang w:eastAsia="ru-RU"/>
        </w:rPr>
        <w:t>.</w:t>
      </w:r>
      <w:r w:rsidRPr="004650E4">
        <w:rPr>
          <w:rFonts w:ascii="Verdana" w:eastAsia="Times New Roman" w:hAnsi="Verdana" w:cs="Times New Roman"/>
          <w:color w:val="006CB8"/>
          <w:sz w:val="25"/>
          <w:szCs w:val="25"/>
          <w:shd w:val="clear" w:color="auto" w:fill="BFD1EA"/>
          <w:lang w:eastAsia="ru-RU"/>
        </w:rPr>
        <w:br/>
        <w:t xml:space="preserve">15. </w:t>
      </w:r>
      <w:proofErr w:type="spellStart"/>
      <w:r w:rsidRPr="004650E4">
        <w:rPr>
          <w:rFonts w:ascii="Verdana" w:eastAsia="Times New Roman" w:hAnsi="Verdana" w:cs="Times New Roman"/>
          <w:color w:val="006CB8"/>
          <w:sz w:val="25"/>
          <w:szCs w:val="25"/>
          <w:shd w:val="clear" w:color="auto" w:fill="BFD1EA"/>
          <w:lang w:eastAsia="ru-RU"/>
        </w:rPr>
        <w:t>Эльконин</w:t>
      </w:r>
      <w:proofErr w:type="spellEnd"/>
      <w:r w:rsidRPr="004650E4">
        <w:rPr>
          <w:rFonts w:ascii="Verdana" w:eastAsia="Times New Roman" w:hAnsi="Verdana" w:cs="Times New Roman"/>
          <w:color w:val="006CB8"/>
          <w:sz w:val="25"/>
          <w:szCs w:val="25"/>
          <w:shd w:val="clear" w:color="auto" w:fill="BFD1EA"/>
          <w:lang w:eastAsia="ru-RU"/>
        </w:rPr>
        <w:t xml:space="preserve"> Д.Б. Психология игры. — М.: Педагогика, 1978. — 304 с.</w:t>
      </w:r>
      <w:r w:rsidRPr="004650E4">
        <w:rPr>
          <w:rFonts w:ascii="Verdana" w:eastAsia="Times New Roman" w:hAnsi="Verdana" w:cs="Times New Roman"/>
          <w:color w:val="006CB8"/>
          <w:sz w:val="25"/>
          <w:szCs w:val="25"/>
          <w:shd w:val="clear" w:color="auto" w:fill="BFD1EA"/>
          <w:lang w:eastAsia="ru-RU"/>
        </w:rPr>
        <w:br/>
        <w:t xml:space="preserve">16. </w:t>
      </w:r>
      <w:hyperlink r:id="rId5" w:history="1">
        <w:r w:rsidRPr="004650E4">
          <w:rPr>
            <w:rFonts w:ascii="Verdana" w:eastAsia="Times New Roman" w:hAnsi="Verdana" w:cs="Times New Roman"/>
            <w:color w:val="006AFB"/>
            <w:sz w:val="25"/>
            <w:lang w:val="en-US" w:eastAsia="ru-RU"/>
          </w:rPr>
          <w:t>http://pedsovet.org/component/option</w:t>
        </w:r>
      </w:hyperlink>
      <w:r w:rsidRPr="004650E4">
        <w:rPr>
          <w:rFonts w:ascii="Verdana" w:eastAsia="Times New Roman" w:hAnsi="Verdana" w:cs="Times New Roman"/>
          <w:color w:val="006CB8"/>
          <w:sz w:val="25"/>
          <w:szCs w:val="25"/>
          <w:shd w:val="clear" w:color="auto" w:fill="BFD1EA"/>
          <w:lang w:val="en-US" w:eastAsia="ru-RU"/>
        </w:rPr>
        <w:br/>
        <w:t>17. Livingstone C. Role Play in Language Learning. — Oxford, 1992</w:t>
      </w:r>
    </w:p>
    <w:p w:rsidR="00802BBA" w:rsidRPr="004650E4" w:rsidRDefault="004650E4" w:rsidP="004650E4">
      <w:pPr>
        <w:jc w:val="both"/>
        <w:rPr>
          <w:lang w:val="en-US"/>
        </w:rPr>
      </w:pPr>
    </w:p>
    <w:sectPr w:rsidR="00802BBA" w:rsidRPr="004650E4" w:rsidSect="00AA4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B62"/>
    <w:multiLevelType w:val="multilevel"/>
    <w:tmpl w:val="4DFC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E4EE2"/>
    <w:multiLevelType w:val="multilevel"/>
    <w:tmpl w:val="005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50E4"/>
    <w:rsid w:val="004650E4"/>
    <w:rsid w:val="006A1033"/>
    <w:rsid w:val="0096429C"/>
    <w:rsid w:val="00AA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0E4"/>
    <w:rPr>
      <w:b/>
      <w:bCs/>
    </w:rPr>
  </w:style>
  <w:style w:type="character" w:customStyle="1" w:styleId="apple-converted-space">
    <w:name w:val="apple-converted-space"/>
    <w:basedOn w:val="a0"/>
    <w:rsid w:val="004650E4"/>
  </w:style>
  <w:style w:type="character" w:styleId="a5">
    <w:name w:val="Emphasis"/>
    <w:basedOn w:val="a0"/>
    <w:uiPriority w:val="20"/>
    <w:qFormat/>
    <w:rsid w:val="004650E4"/>
    <w:rPr>
      <w:i/>
      <w:iCs/>
    </w:rPr>
  </w:style>
  <w:style w:type="character" w:styleId="HTML">
    <w:name w:val="HTML Typewriter"/>
    <w:basedOn w:val="a0"/>
    <w:uiPriority w:val="99"/>
    <w:semiHidden/>
    <w:unhideWhenUsed/>
    <w:rsid w:val="004650E4"/>
    <w:rPr>
      <w:rFonts w:ascii="Courier New" w:eastAsia="Times New Roman" w:hAnsi="Courier New" w:cs="Courier New"/>
      <w:sz w:val="20"/>
      <w:szCs w:val="20"/>
    </w:rPr>
  </w:style>
  <w:style w:type="character" w:styleId="a6">
    <w:name w:val="Hyperlink"/>
    <w:basedOn w:val="a0"/>
    <w:uiPriority w:val="99"/>
    <w:semiHidden/>
    <w:unhideWhenUsed/>
    <w:rsid w:val="004650E4"/>
    <w:rPr>
      <w:color w:val="0000FF"/>
      <w:u w:val="single"/>
    </w:rPr>
  </w:style>
</w:styles>
</file>

<file path=word/webSettings.xml><?xml version="1.0" encoding="utf-8"?>
<w:webSettings xmlns:r="http://schemas.openxmlformats.org/officeDocument/2006/relationships" xmlns:w="http://schemas.openxmlformats.org/wordprocessingml/2006/main">
  <w:divs>
    <w:div w:id="15085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org/component/op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1617</Words>
  <Characters>9222</Characters>
  <Application>Microsoft Office Word</Application>
  <DocSecurity>0</DocSecurity>
  <Lines>76</Lines>
  <Paragraphs>21</Paragraphs>
  <ScaleCrop>false</ScaleCrop>
  <Company>Tycoon</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2014-10-12T23:36:00Z</dcterms:created>
  <dcterms:modified xsi:type="dcterms:W3CDTF">2014-10-12T23:46:00Z</dcterms:modified>
</cp:coreProperties>
</file>