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E" w:rsidRPr="00D75C76" w:rsidRDefault="003C473E" w:rsidP="00D75C76">
      <w:pPr>
        <w:rPr>
          <w:b/>
          <w:color w:val="403152" w:themeColor="accent4" w:themeShade="80"/>
        </w:rPr>
      </w:pPr>
      <w:r w:rsidRPr="00D75C76">
        <w:rPr>
          <w:b/>
          <w:color w:val="403152" w:themeColor="accent4" w:themeShade="80"/>
        </w:rPr>
        <w:t>«Формирование психологически комфортной атмосферы на уроках английского языка для успешного овладения учащимися коммуникативными навыками»</w:t>
      </w:r>
    </w:p>
    <w:p w:rsidR="003C473E" w:rsidRPr="00D75C76" w:rsidRDefault="003C473E" w:rsidP="00D75C76">
      <w:pPr>
        <w:rPr>
          <w:b/>
          <w:color w:val="403152" w:themeColor="accent4" w:themeShade="80"/>
        </w:rPr>
      </w:pP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  «…Не секрет, что, наверное, почти у 60 процентов населения нашей страны знание английского языка находится где-то на уровне «владею со словарем» и «мы все учились понемногу…». В остальные 40 процентов входят те, кому в школе довелось учить французский или немецкий либо весьма немногочисленные счастливчики, которым повезло с преподавателем или кого заботливые родители отправили в свое время на учебу за границу для изучения английского языка…» *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Мы учим детей английскому языку в первую очередь для того чтобы они могли пользуясь полученными знаниями стать успешными в реальной современной жизни, не боялись общаться и говорить, учиться или работать в другой стране, а не только для того чтобы успешно сдать ЕГЭ и поступить в ВУЗ. </w:t>
      </w:r>
      <w:proofErr w:type="gramStart"/>
      <w:r w:rsidRPr="00D75C76">
        <w:rPr>
          <w:color w:val="403152" w:themeColor="accent4" w:themeShade="80"/>
        </w:rPr>
        <w:t>Знание английского языка это требование современного общества, только 40 % наших выпускников сдают экзамен в конце курса старшей школы и идут в языковой вуз, остальные поступают в другие институты, не планируя связывать свою профессиональную деятельность с иностранном языком, но и для них знание языка будет  верным помощником в жизни.</w:t>
      </w:r>
      <w:proofErr w:type="gramEnd"/>
      <w:r w:rsidRPr="00D75C76">
        <w:rPr>
          <w:color w:val="403152" w:themeColor="accent4" w:themeShade="80"/>
        </w:rPr>
        <w:t xml:space="preserve"> Необходимо отметить, что в наше время происходит значительное расширение масштабов межкультурного взаимодействия, в связи, с чем особую важность приобретают факторы коммуникабельности и толерантности, а предмет английский язык играет в решении поставленных задач одну из первостепенных ролей.</w:t>
      </w:r>
    </w:p>
    <w:p w:rsidR="003C473E" w:rsidRPr="00D75C76" w:rsidRDefault="003C473E" w:rsidP="00D75C76">
      <w:pPr>
        <w:rPr>
          <w:color w:val="403152" w:themeColor="accent4" w:themeShade="80"/>
        </w:rPr>
      </w:pP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Использование современных образовательных технологий при обучении детей позволяют  реализовать личностно – ориентированный подход в обучении, обеспечивают индивидуализацию и дифференциацию обучения с учётом способностей детей, их уровня </w:t>
      </w:r>
      <w:proofErr w:type="spellStart"/>
      <w:r w:rsidRPr="00D75C76">
        <w:rPr>
          <w:color w:val="403152" w:themeColor="accent4" w:themeShade="80"/>
        </w:rPr>
        <w:t>обученности</w:t>
      </w:r>
      <w:proofErr w:type="spellEnd"/>
      <w:r w:rsidRPr="00D75C76">
        <w:rPr>
          <w:color w:val="403152" w:themeColor="accent4" w:themeShade="80"/>
        </w:rPr>
        <w:t xml:space="preserve"> и интересов. Однако</w:t>
      </w:r>
      <w:proofErr w:type="gramStart"/>
      <w:r w:rsidRPr="00D75C76">
        <w:rPr>
          <w:color w:val="403152" w:themeColor="accent4" w:themeShade="80"/>
        </w:rPr>
        <w:t>,</w:t>
      </w:r>
      <w:proofErr w:type="gramEnd"/>
      <w:r w:rsidRPr="00D75C76">
        <w:rPr>
          <w:color w:val="403152" w:themeColor="accent4" w:themeShade="80"/>
        </w:rPr>
        <w:t xml:space="preserve"> использование технологий без психологического сопровождения  не дает желаемых результатов. Работая в школе и применяя различные технологии и приемы, я поняла, что успешность моих учеников напрямую зависит от их психологического комфорта на уроках </w:t>
      </w:r>
      <w:proofErr w:type="gramStart"/>
      <w:r w:rsidRPr="00D75C76">
        <w:rPr>
          <w:color w:val="403152" w:themeColor="accent4" w:themeShade="80"/>
        </w:rPr>
        <w:t>и</w:t>
      </w:r>
      <w:proofErr w:type="gramEnd"/>
      <w:r w:rsidRPr="00D75C76">
        <w:rPr>
          <w:color w:val="403152" w:themeColor="accent4" w:themeShade="80"/>
        </w:rPr>
        <w:t xml:space="preserve"> на мой взгляд именно этот компонент является ведущим. Я уверена, что самые эффективные методы и приемы не приведут к реализации поставленной цели, если ваши ученики не  чувствуют себя в безопасности. «…Психологический комфорт – это условия жизни, при которых ребенок чувствует себя спокойно, нет необходимости защищаться…» Урок английского языка по своему внутреннему наполнению зачастую касается личного пространства учащегося, его интересов и предпочтений. Темы, о которых мы говорим на уроках, касаются всех сфер жизни учеников, мы говорим о себе, о семье, о любви и дружбе. Дети высказывают свои суждения, выражают свою точку зрения по разным проблемам, и делать это возможно только на уроках где они чувствуют себя комфортно и легко. Также огромная роль принадлежит мотивации при изучении английского языка. Успешная деятельность невозможна без искренней заинтересованности учащегося в процессе. И это задача учителя сделать процесс изучения иностранного языка увлекательным. </w:t>
      </w:r>
      <w:proofErr w:type="gramStart"/>
      <w:r w:rsidRPr="00D75C76">
        <w:rPr>
          <w:color w:val="403152" w:themeColor="accent4" w:themeShade="80"/>
        </w:rPr>
        <w:t xml:space="preserve">Я обратила внимание, что на первом этапе овладения языком, все ученики заинтересованы в его изучении, они с удовольствием погружаются в новую для них среду и деятельность, но как только появляются первые трудности, а они неизбежны, мотивация у части учеников снижается, и вот в этот момент задача учителя поддержать ученика, дать возможность поверить в свои силы, создать положительную </w:t>
      </w:r>
      <w:proofErr w:type="spellStart"/>
      <w:r w:rsidRPr="00D75C76">
        <w:rPr>
          <w:color w:val="403152" w:themeColor="accent4" w:themeShade="80"/>
        </w:rPr>
        <w:t>Я-концепцию</w:t>
      </w:r>
      <w:proofErr w:type="spellEnd"/>
      <w:r w:rsidRPr="00D75C76">
        <w:rPr>
          <w:color w:val="403152" w:themeColor="accent4" w:themeShade="80"/>
        </w:rPr>
        <w:t>, не дать</w:t>
      </w:r>
      <w:proofErr w:type="gramEnd"/>
      <w:r w:rsidRPr="00D75C76">
        <w:rPr>
          <w:color w:val="403152" w:themeColor="accent4" w:themeShade="80"/>
        </w:rPr>
        <w:t xml:space="preserve"> опустить руки. Приведу пример, когда я пришла работать в гимназию, шесть лет назад, я начала преподавать в разных классах (8-11) и обратила внимание на то, что дети говорят с трудом, им легко давались грамматические и лексические задания, задания на чтение и </w:t>
      </w:r>
      <w:proofErr w:type="spellStart"/>
      <w:r w:rsidRPr="00D75C76">
        <w:rPr>
          <w:color w:val="403152" w:themeColor="accent4" w:themeShade="80"/>
        </w:rPr>
        <w:t>аудирование</w:t>
      </w:r>
      <w:proofErr w:type="spellEnd"/>
      <w:r w:rsidRPr="00D75C76">
        <w:rPr>
          <w:color w:val="403152" w:themeColor="accent4" w:themeShade="80"/>
        </w:rPr>
        <w:t xml:space="preserve">, но говорить им было невероятно сложно. Они смущались, когда делали ошибку, были скованы и явно не доверяли мне, отделываясь общими фразами. Прошло много времени, прежде чем мы </w:t>
      </w:r>
      <w:proofErr w:type="gramStart"/>
      <w:r w:rsidRPr="00D75C76">
        <w:rPr>
          <w:color w:val="403152" w:themeColor="accent4" w:themeShade="80"/>
        </w:rPr>
        <w:t>преодолели этот барьер и в классе появилась</w:t>
      </w:r>
      <w:proofErr w:type="gramEnd"/>
      <w:r w:rsidRPr="00D75C76">
        <w:rPr>
          <w:color w:val="403152" w:themeColor="accent4" w:themeShade="80"/>
        </w:rPr>
        <w:t xml:space="preserve"> атмосфера доверия. Поэтому когда на следующий год, я стала работать во 2 классе, я с самого начала стала работать с ними с применением коммуникативных упражнений и сейчас мои ученики, уже 7 класса, с радостью делятся со мной своими впечатлениями и мыслями на уроках. Важно еще на первом этапе обучения заложить фундамент доверия и уверенности в собственных силах и тогда зерна знаний, посаженные вами, </w:t>
      </w:r>
      <w:proofErr w:type="gramStart"/>
      <w:r w:rsidRPr="00D75C76">
        <w:rPr>
          <w:color w:val="403152" w:themeColor="accent4" w:themeShade="80"/>
        </w:rPr>
        <w:t>дадут прекрасные плоды</w:t>
      </w:r>
      <w:proofErr w:type="gramEnd"/>
      <w:r w:rsidRPr="00D75C76">
        <w:rPr>
          <w:color w:val="403152" w:themeColor="accent4" w:themeShade="80"/>
        </w:rPr>
        <w:t>.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Главная цель моей работы:</w:t>
      </w:r>
    </w:p>
    <w:p w:rsidR="003C473E" w:rsidRPr="00D75C76" w:rsidRDefault="003C473E" w:rsidP="00D75C76">
      <w:pPr>
        <w:pStyle w:val="a4"/>
        <w:ind w:left="72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lastRenderedPageBreak/>
        <w:t>Сформировать коммуникативную культуру учащихся с помощью современных образовательных технологий в условиях психологически комфортной атмосферы.</w:t>
      </w:r>
    </w:p>
    <w:p w:rsidR="003C473E" w:rsidRPr="00D75C76" w:rsidRDefault="003C473E" w:rsidP="00D75C76">
      <w:pPr>
        <w:pStyle w:val="a4"/>
        <w:tabs>
          <w:tab w:val="left" w:pos="142"/>
        </w:tabs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Задачи: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-  формировать уважение и интерес к культуре страны изучаемого языка и народу, ее носителю;</w:t>
      </w:r>
    </w:p>
    <w:p w:rsidR="003C473E" w:rsidRPr="00D75C76" w:rsidRDefault="003C473E" w:rsidP="00D75C76">
      <w:pPr>
        <w:rPr>
          <w:color w:val="403152" w:themeColor="accent4" w:themeShade="80"/>
        </w:rPr>
      </w:pPr>
      <w:proofErr w:type="gramStart"/>
      <w:r w:rsidRPr="00D75C76">
        <w:rPr>
          <w:color w:val="403152" w:themeColor="accent4" w:themeShade="80"/>
        </w:rPr>
        <w:t>- создавать психологически комфортную атмосферу в учебной и вне учебной деятельности учащихся</w:t>
      </w:r>
      <w:proofErr w:type="gramEnd"/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- формировать познавательную активность и поддерживать интерес к учению; 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- воспитывать потребность в практическом использовании иностранного языка в различных сферах деятельности.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-   развивать языковые и интеллектуальные  способности, ценностные ориентации, чувства, эмоциональную и психологическую готовность к коммуникации.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В соответствии с целями и задачами был выбран УМК издательства </w:t>
      </w:r>
      <w:r w:rsidRPr="00D75C76">
        <w:rPr>
          <w:color w:val="403152" w:themeColor="accent4" w:themeShade="80"/>
          <w:lang w:val="en-US"/>
        </w:rPr>
        <w:t>Longman</w:t>
      </w:r>
      <w:r w:rsidRPr="00D75C76">
        <w:rPr>
          <w:color w:val="403152" w:themeColor="accent4" w:themeShade="80"/>
        </w:rPr>
        <w:t>, “</w:t>
      </w:r>
      <w:r w:rsidRPr="00D75C76">
        <w:rPr>
          <w:color w:val="403152" w:themeColor="accent4" w:themeShade="80"/>
          <w:lang w:val="en-US"/>
        </w:rPr>
        <w:t>Activate</w:t>
      </w:r>
      <w:r w:rsidRPr="00D75C76">
        <w:rPr>
          <w:color w:val="403152" w:themeColor="accent4" w:themeShade="80"/>
        </w:rPr>
        <w:t>”.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</w:t>
      </w:r>
      <w:proofErr w:type="gramStart"/>
      <w:r w:rsidRPr="00D75C76">
        <w:rPr>
          <w:color w:val="403152" w:themeColor="accent4" w:themeShade="80"/>
        </w:rPr>
        <w:t>Данный</w:t>
      </w:r>
      <w:proofErr w:type="gramEnd"/>
      <w:r w:rsidRPr="00D75C76">
        <w:rPr>
          <w:color w:val="403152" w:themeColor="accent4" w:themeShade="80"/>
        </w:rPr>
        <w:t xml:space="preserve"> УМК способствует психологически комфортному обучению английскому языку. В УМК входит помимо учебника и рабочей тетради, </w:t>
      </w:r>
      <w:r w:rsidRPr="00D75C76">
        <w:rPr>
          <w:color w:val="403152" w:themeColor="accent4" w:themeShade="80"/>
          <w:lang w:val="en-US"/>
        </w:rPr>
        <w:t>CD</w:t>
      </w:r>
      <w:r w:rsidRPr="00D75C76">
        <w:rPr>
          <w:color w:val="403152" w:themeColor="accent4" w:themeShade="80"/>
        </w:rPr>
        <w:t>-</w:t>
      </w:r>
      <w:proofErr w:type="spellStart"/>
      <w:r w:rsidRPr="00D75C76">
        <w:rPr>
          <w:color w:val="403152" w:themeColor="accent4" w:themeShade="80"/>
          <w:lang w:val="en-US"/>
        </w:rPr>
        <w:t>rom</w:t>
      </w:r>
      <w:proofErr w:type="spellEnd"/>
      <w:r w:rsidRPr="00D75C76">
        <w:rPr>
          <w:color w:val="403152" w:themeColor="accent4" w:themeShade="80"/>
        </w:rPr>
        <w:t xml:space="preserve">, для закрепления лексических и грамматических навыков, </w:t>
      </w:r>
      <w:commentRangeStart w:id="0"/>
      <w:r w:rsidRPr="00D75C76">
        <w:rPr>
          <w:color w:val="403152" w:themeColor="accent4" w:themeShade="80"/>
          <w:lang w:val="en-US"/>
        </w:rPr>
        <w:t>DVD</w:t>
      </w:r>
      <w:commentRangeEnd w:id="0"/>
      <w:r w:rsidRPr="00D75C76">
        <w:rPr>
          <w:rStyle w:val="a5"/>
          <w:color w:val="403152" w:themeColor="accent4" w:themeShade="80"/>
          <w:sz w:val="24"/>
          <w:szCs w:val="24"/>
        </w:rPr>
        <w:commentReference w:id="0"/>
      </w:r>
      <w:r w:rsidRPr="00D75C76">
        <w:rPr>
          <w:color w:val="403152" w:themeColor="accent4" w:themeShade="80"/>
        </w:rPr>
        <w:t xml:space="preserve">  диск с мини-фильмами для обсуждения и интересное внутреннее наполнение, которое не только помогает расширять знания и формировать умения и навыки, но и помогает в подготовке к ЕГЭ. На мой </w:t>
      </w:r>
      <w:proofErr w:type="gramStart"/>
      <w:r w:rsidRPr="00D75C76">
        <w:rPr>
          <w:color w:val="403152" w:themeColor="accent4" w:themeShade="80"/>
        </w:rPr>
        <w:t>взгляд</w:t>
      </w:r>
      <w:proofErr w:type="gramEnd"/>
      <w:r w:rsidRPr="00D75C76">
        <w:rPr>
          <w:color w:val="403152" w:themeColor="accent4" w:themeShade="80"/>
        </w:rPr>
        <w:t xml:space="preserve"> он способствует развитию личности школьника, его способностей и желаний участвовать в межкультурной коммуникации на иностранном языке и самостоятельно совершенствоваться в иноязычно-речевой деятельности.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Для реализации поставленных целей и задач я использую следующие технологии:</w:t>
      </w:r>
    </w:p>
    <w:p w:rsidR="003C473E" w:rsidRPr="00D75C76" w:rsidRDefault="003C473E" w:rsidP="00D75C76">
      <w:pPr>
        <w:numPr>
          <w:ilvl w:val="0"/>
          <w:numId w:val="1"/>
        </w:num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Технологии развивающего обучения;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Данная технология способствует включению в процесс обучения не только рациональной, но и эмоциональной сферы. </w:t>
      </w:r>
    </w:p>
    <w:p w:rsidR="003C473E" w:rsidRPr="00D75C76" w:rsidRDefault="003C473E" w:rsidP="00D75C76">
      <w:pPr>
        <w:rPr>
          <w:i/>
          <w:color w:val="403152" w:themeColor="accent4" w:themeShade="80"/>
        </w:rPr>
      </w:pPr>
      <w:r w:rsidRPr="00D75C76">
        <w:rPr>
          <w:i/>
          <w:color w:val="403152" w:themeColor="accent4" w:themeShade="80"/>
        </w:rPr>
        <w:t>1.</w:t>
      </w:r>
      <w:r w:rsidRPr="00D75C76">
        <w:rPr>
          <w:b/>
          <w:i/>
          <w:color w:val="403152" w:themeColor="accent4" w:themeShade="80"/>
        </w:rPr>
        <w:t xml:space="preserve"> </w:t>
      </w:r>
      <w:r w:rsidRPr="00D75C76">
        <w:rPr>
          <w:i/>
          <w:color w:val="403152" w:themeColor="accent4" w:themeShade="80"/>
        </w:rPr>
        <w:t>Констатация приятных переживаний, полученных на уроке.</w:t>
      </w:r>
    </w:p>
    <w:p w:rsidR="003C473E" w:rsidRPr="00D75C76" w:rsidRDefault="003C473E" w:rsidP="00D75C76">
      <w:pPr>
        <w:rPr>
          <w:i/>
          <w:color w:val="403152" w:themeColor="accent4" w:themeShade="80"/>
        </w:rPr>
      </w:pP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Благоприятная атмосфера урока способствует констатации приятных переживаний. После каждого этапа занятия ребятам предлагается дать оценку своим восприятиям и переживаниям. Атмосфера заинтересованности просматривается в каждом виде деятельности, развивается самостоятельная творческая деятельность каждого ученика. На каждом столе лежит папка с набором картинок определения эмоциональной сферы урока.</w:t>
      </w:r>
      <w:r w:rsidRPr="00D75C76">
        <w:rPr>
          <w:b/>
          <w:color w:val="403152" w:themeColor="accent4" w:themeShade="80"/>
        </w:rPr>
        <w:t xml:space="preserve"> </w:t>
      </w:r>
      <w:r w:rsidRPr="00D75C76">
        <w:rPr>
          <w:color w:val="403152" w:themeColor="accent4" w:themeShade="80"/>
        </w:rPr>
        <w:t xml:space="preserve">  </w:t>
      </w:r>
    </w:p>
    <w:p w:rsidR="003C473E" w:rsidRPr="00D75C76" w:rsidRDefault="003C473E" w:rsidP="00D75C76">
      <w:pPr>
        <w:rPr>
          <w:i/>
          <w:color w:val="403152" w:themeColor="accent4" w:themeShade="80"/>
        </w:rPr>
      </w:pPr>
      <w:r w:rsidRPr="00D75C76">
        <w:rPr>
          <w:i/>
          <w:color w:val="403152" w:themeColor="accent4" w:themeShade="80"/>
        </w:rPr>
        <w:t>2.Завершающая оценка эмоциональных переживаний.</w:t>
      </w:r>
    </w:p>
    <w:p w:rsidR="003C473E" w:rsidRPr="00D75C76" w:rsidRDefault="003C473E" w:rsidP="00D75C76">
      <w:pPr>
        <w:rPr>
          <w:i/>
          <w:color w:val="403152" w:themeColor="accent4" w:themeShade="80"/>
        </w:rPr>
      </w:pPr>
    </w:p>
    <w:p w:rsidR="003C473E" w:rsidRPr="00D75C76" w:rsidRDefault="003C473E" w:rsidP="00D75C76">
      <w:pPr>
        <w:pStyle w:val="3"/>
        <w:rPr>
          <w:color w:val="403152" w:themeColor="accent4" w:themeShade="80"/>
          <w:sz w:val="24"/>
          <w:szCs w:val="24"/>
        </w:rPr>
      </w:pPr>
      <w:r w:rsidRPr="00D75C76">
        <w:rPr>
          <w:color w:val="403152" w:themeColor="accent4" w:themeShade="80"/>
          <w:sz w:val="24"/>
          <w:szCs w:val="24"/>
        </w:rPr>
        <w:t>В начале и конце урока ребёнок показывает своё настроение, после чего я даю оценку своему методическому уровню ведения урока.</w:t>
      </w:r>
    </w:p>
    <w:p w:rsidR="003C473E" w:rsidRPr="00D75C76" w:rsidRDefault="003C473E" w:rsidP="00D75C76">
      <w:pPr>
        <w:pStyle w:val="3"/>
        <w:rPr>
          <w:color w:val="403152" w:themeColor="accent4" w:themeShade="80"/>
          <w:sz w:val="24"/>
          <w:szCs w:val="24"/>
        </w:rPr>
      </w:pPr>
      <w:r w:rsidRPr="00D75C76">
        <w:rPr>
          <w:i/>
          <w:color w:val="403152" w:themeColor="accent4" w:themeShade="80"/>
          <w:sz w:val="24"/>
          <w:szCs w:val="24"/>
        </w:rPr>
        <w:t>3.Конструирование творческого задания</w:t>
      </w:r>
    </w:p>
    <w:p w:rsidR="003C473E" w:rsidRPr="00D75C76" w:rsidRDefault="003C473E" w:rsidP="00D75C76">
      <w:pPr>
        <w:pStyle w:val="3"/>
        <w:rPr>
          <w:color w:val="403152" w:themeColor="accent4" w:themeShade="80"/>
          <w:sz w:val="24"/>
          <w:szCs w:val="24"/>
        </w:rPr>
      </w:pPr>
      <w:r w:rsidRPr="00D75C76">
        <w:rPr>
          <w:color w:val="403152" w:themeColor="accent4" w:themeShade="80"/>
          <w:sz w:val="24"/>
          <w:szCs w:val="24"/>
        </w:rPr>
        <w:t>На каждом уроке предусматриваю много интересных творческих заданий, основанных на речевых конструкторах, а также предлагаю ребятам самим придумать задания для партнёра.</w:t>
      </w:r>
    </w:p>
    <w:p w:rsidR="003C473E" w:rsidRPr="00D75C76" w:rsidRDefault="003C473E" w:rsidP="00D75C7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Технологии проблемного обучения;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В</w:t>
      </w:r>
      <w:r w:rsidRPr="00D75C76">
        <w:rPr>
          <w:b/>
          <w:color w:val="403152" w:themeColor="accent4" w:themeShade="80"/>
        </w:rPr>
        <w:t xml:space="preserve"> </w:t>
      </w:r>
      <w:r w:rsidRPr="00D75C76">
        <w:rPr>
          <w:color w:val="403152" w:themeColor="accent4" w:themeShade="80"/>
        </w:rPr>
        <w:t>старших и средних классах</w:t>
      </w:r>
      <w:r w:rsidRPr="00D75C76">
        <w:rPr>
          <w:b/>
          <w:color w:val="403152" w:themeColor="accent4" w:themeShade="80"/>
        </w:rPr>
        <w:t xml:space="preserve"> </w:t>
      </w:r>
      <w:r w:rsidRPr="00D75C76">
        <w:rPr>
          <w:color w:val="403152" w:themeColor="accent4" w:themeShade="80"/>
        </w:rPr>
        <w:t xml:space="preserve">на уроках создаётся проблемная ситуация, ученикам предлагается выход из неё через самостоятельную исследовательскую и творческую деятельность. В дальнейшем эта технология дает успешный результат при научно-практической деятельности. Мои ученики ежегодно принимают участие в школьной научно-практической конференции. Среди их работ, много актуальных для наших дней тем. Одной из таких работ стало интернет-исследование моего ученика, теперь уже выпускника, Максима Прокопенко. «Молодежный – </w:t>
      </w:r>
      <w:proofErr w:type="spellStart"/>
      <w:r w:rsidRPr="00D75C76">
        <w:rPr>
          <w:color w:val="403152" w:themeColor="accent4" w:themeShade="80"/>
          <w:lang w:val="en-US"/>
        </w:rPr>
        <w:t>sms</w:t>
      </w:r>
      <w:proofErr w:type="spellEnd"/>
      <w:r w:rsidRPr="00D75C76">
        <w:rPr>
          <w:color w:val="403152" w:themeColor="accent4" w:themeShade="80"/>
        </w:rPr>
        <w:t xml:space="preserve"> язык. </w:t>
      </w:r>
      <w:proofErr w:type="gramStart"/>
      <w:r w:rsidRPr="00D75C76">
        <w:rPr>
          <w:color w:val="403152" w:themeColor="accent4" w:themeShade="80"/>
          <w:lang w:val="en-US"/>
        </w:rPr>
        <w:t>Texting</w:t>
      </w:r>
      <w:r w:rsidRPr="00D75C76">
        <w:rPr>
          <w:color w:val="403152" w:themeColor="accent4" w:themeShade="80"/>
        </w:rPr>
        <w:t>» Он представлял нашу работу на районной конференции в 2009 году.</w:t>
      </w:r>
      <w:proofErr w:type="gramEnd"/>
    </w:p>
    <w:p w:rsidR="003C473E" w:rsidRPr="00D75C76" w:rsidRDefault="003C473E" w:rsidP="00D75C7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Технологии личностно-ориентированного обучения;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  На уроках создаётся ситуация взаимопомощи и </w:t>
      </w:r>
      <w:proofErr w:type="spellStart"/>
      <w:r w:rsidRPr="00D75C76">
        <w:rPr>
          <w:color w:val="403152" w:themeColor="accent4" w:themeShade="80"/>
        </w:rPr>
        <w:t>взаимообучения</w:t>
      </w:r>
      <w:proofErr w:type="spellEnd"/>
      <w:r w:rsidRPr="00D75C76">
        <w:rPr>
          <w:color w:val="403152" w:themeColor="accent4" w:themeShade="80"/>
        </w:rPr>
        <w:t>, работая в режиме «Ты – учитель, я – ученик». Данный режим позволяет неуспевающему ученику познать успех. Особое внимание уделяется индивидуальным особенностям каждого учащегося, например при выборе домашнего задания. Важно предоставлять детям альтернативу, возможность реализации их творческого начала.</w:t>
      </w:r>
    </w:p>
    <w:p w:rsidR="003C473E" w:rsidRPr="00D75C76" w:rsidRDefault="003C473E" w:rsidP="00D75C7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Технологии проектной деятельности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lastRenderedPageBreak/>
        <w:t xml:space="preserve">Основной целью проектной деятельности является формирование умения мыслить и действовать самостоятельно или в команде и быть ответственным за результат. Работа над проектной деятельностью осуществляется по двум направлениям: </w:t>
      </w:r>
    </w:p>
    <w:p w:rsidR="003C473E" w:rsidRPr="00D75C76" w:rsidRDefault="003C473E" w:rsidP="00D75C76">
      <w:pPr>
        <w:pStyle w:val="a4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Самостоятельная проектная деятельность.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Осуществляется в рамках учебной деятельности, при изучении темы или как завершающий этап. Ученики имеют возможность представить свои проекты на уроках, во время общешкольных мероприятий, а также в конкурсных программах во время недели английского языка. Например, в рамках недели иностранного языка в начале 2010 года, ученики создавали </w:t>
      </w:r>
      <w:proofErr w:type="gramStart"/>
      <w:r w:rsidRPr="00D75C76">
        <w:rPr>
          <w:color w:val="403152" w:themeColor="accent4" w:themeShade="80"/>
        </w:rPr>
        <w:t>индивидуальные проекты</w:t>
      </w:r>
      <w:proofErr w:type="gramEnd"/>
      <w:r w:rsidRPr="00D75C76">
        <w:rPr>
          <w:color w:val="403152" w:themeColor="accent4" w:themeShade="80"/>
        </w:rPr>
        <w:t xml:space="preserve"> «Мой день рождения». Перед учениками была поставлена задача – найти все самое интересное, что произошло в мире, в стране, в их семье в этот знаменательный для них день и создать презентацию, которая бы подчеркивала уникальность этого дня. Для создания своих проектов, ученики провели интервью со своими родителями, друзьями, искали в интернете, в газетах, журналах, фотоальбомах нужную им информацию. Результат порадовал не только самих создателей проектов, но и их семьи.</w:t>
      </w:r>
    </w:p>
    <w:p w:rsidR="003C473E" w:rsidRPr="00D75C76" w:rsidRDefault="003C473E" w:rsidP="00D75C76">
      <w:pPr>
        <w:pStyle w:val="a4"/>
        <w:numPr>
          <w:ilvl w:val="1"/>
          <w:numId w:val="1"/>
        </w:num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Групповая проектная работа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Осуществляется во время международных проектов. В нашей гимназии осуществляется несколько таких проектов, с Финляндией, Белоруссией, Китаем, Германией. С точки зрения развития коммуникативных навыков английского языка, приоритетными являются связи с финскими школами: </w:t>
      </w:r>
      <w:proofErr w:type="spellStart"/>
      <w:proofErr w:type="gramStart"/>
      <w:r w:rsidRPr="00D75C76">
        <w:rPr>
          <w:color w:val="403152" w:themeColor="accent4" w:themeShade="80"/>
          <w:lang w:val="en-US"/>
        </w:rPr>
        <w:t>Linakoskonen</w:t>
      </w:r>
      <w:proofErr w:type="spellEnd"/>
      <w:r w:rsidRPr="00D75C76">
        <w:rPr>
          <w:color w:val="403152" w:themeColor="accent4" w:themeShade="80"/>
        </w:rPr>
        <w:t xml:space="preserve"> </w:t>
      </w:r>
      <w:proofErr w:type="spellStart"/>
      <w:r w:rsidRPr="00D75C76">
        <w:rPr>
          <w:color w:val="403152" w:themeColor="accent4" w:themeShade="80"/>
          <w:lang w:val="en-US"/>
        </w:rPr>
        <w:t>Lukkio</w:t>
      </w:r>
      <w:proofErr w:type="spellEnd"/>
      <w:r w:rsidRPr="00D75C76">
        <w:rPr>
          <w:color w:val="403152" w:themeColor="accent4" w:themeShade="80"/>
        </w:rPr>
        <w:t xml:space="preserve"> города </w:t>
      </w:r>
      <w:proofErr w:type="spellStart"/>
      <w:r w:rsidRPr="00D75C76">
        <w:rPr>
          <w:color w:val="403152" w:themeColor="accent4" w:themeShade="80"/>
        </w:rPr>
        <w:t>Порвоо</w:t>
      </w:r>
      <w:proofErr w:type="spellEnd"/>
      <w:r w:rsidRPr="00D75C76">
        <w:rPr>
          <w:color w:val="403152" w:themeColor="accent4" w:themeShade="80"/>
        </w:rPr>
        <w:t xml:space="preserve"> (с 2008 года) и со средней школой города </w:t>
      </w:r>
      <w:proofErr w:type="spellStart"/>
      <w:r w:rsidRPr="00D75C76">
        <w:rPr>
          <w:color w:val="403152" w:themeColor="accent4" w:themeShade="80"/>
        </w:rPr>
        <w:t>Рантасалми</w:t>
      </w:r>
      <w:proofErr w:type="spellEnd"/>
      <w:r w:rsidRPr="00D75C76">
        <w:rPr>
          <w:color w:val="403152" w:themeColor="accent4" w:themeShade="80"/>
        </w:rPr>
        <w:t xml:space="preserve"> (с 2009).</w:t>
      </w:r>
      <w:proofErr w:type="gramEnd"/>
      <w:r w:rsidRPr="00D75C76">
        <w:rPr>
          <w:color w:val="403152" w:themeColor="accent4" w:themeShade="80"/>
        </w:rPr>
        <w:t xml:space="preserve"> Основными формами реализации международных мероприятий являются: совместные научные исследования, научно-практические семинары и конференции, и конечно ученический обмен. Основной язык общения – английский. Нам с самого начала было тесно в рамках экскурсионной программы и бытового общения, поэтому появилась идея, дополнить их совместными творческими проектами. Тематика создаваемых моими учениками проектов разнообразна, как и окружающая нас действительность. За последние несколько лет были созданы такие проекты как: «Защита окружающей среды», « Историческая действительность и человек», «Вода в России и Финляндии»,  «Символ толерантности», «Портрет горожанина», «Страна и личность» и  многие другие. Плюсом такой работы является то, что в процессе создания проекта все участники общаются между собой на английском языке. Приведу пример создания одного из проектов.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«Портрет горожанина»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  <w:lang w:val="en-US"/>
        </w:rPr>
        <w:t>I</w:t>
      </w:r>
      <w:r w:rsidRPr="00D75C76">
        <w:rPr>
          <w:color w:val="403152" w:themeColor="accent4" w:themeShade="80"/>
        </w:rPr>
        <w:t xml:space="preserve"> этап Весна 2009 – финская делегация в Санкт – Петербурге. Все участники проекта русские и финские ученики </w:t>
      </w:r>
      <w:proofErr w:type="gramStart"/>
      <w:r w:rsidRPr="00D75C76">
        <w:rPr>
          <w:color w:val="403152" w:themeColor="accent4" w:themeShade="80"/>
        </w:rPr>
        <w:t>разделены(</w:t>
      </w:r>
      <w:proofErr w:type="gramEnd"/>
      <w:r w:rsidRPr="00D75C76">
        <w:rPr>
          <w:color w:val="403152" w:themeColor="accent4" w:themeShade="80"/>
        </w:rPr>
        <w:t>по интересам) на три группы, каждая из которых создает свой проект. В подгруппе, которая создавала «Портрет горожанина» участвовало 10 человек: ученики  русской и финской гимназий. В процессе обсуждения, учениками было принято решение – научить финских студентов задавать вопросы на русском языке,  а затем выйти на улицы и опросить прохожих с целью понять - кто такой современный петербуржец. По результатам полученной информации был организован круглый стол, на котором ученики обобщили полученный материал, отобрали лучшие фотографии и решили создать коллаж, на котором были представлены результаты, написанные на трех языках: русском, финском и английском.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proofErr w:type="gramStart"/>
      <w:r w:rsidRPr="00D75C76">
        <w:rPr>
          <w:color w:val="403152" w:themeColor="accent4" w:themeShade="80"/>
          <w:lang w:val="en-US"/>
        </w:rPr>
        <w:t>II</w:t>
      </w:r>
      <w:r w:rsidRPr="00D75C76">
        <w:rPr>
          <w:color w:val="403152" w:themeColor="accent4" w:themeShade="80"/>
        </w:rPr>
        <w:t xml:space="preserve"> этап Осень 2009 – русская делегация в </w:t>
      </w:r>
      <w:proofErr w:type="spellStart"/>
      <w:r w:rsidRPr="00D75C76">
        <w:rPr>
          <w:color w:val="403152" w:themeColor="accent4" w:themeShade="80"/>
        </w:rPr>
        <w:t>Порвоо</w:t>
      </w:r>
      <w:proofErr w:type="spellEnd"/>
      <w:r w:rsidRPr="00D75C76">
        <w:rPr>
          <w:color w:val="403152" w:themeColor="accent4" w:themeShade="80"/>
        </w:rPr>
        <w:t>. Состав группы расширен за счет американских, бельгийских, итальянских студентов.</w:t>
      </w:r>
      <w:proofErr w:type="gramEnd"/>
      <w:r w:rsidRPr="00D75C76">
        <w:rPr>
          <w:color w:val="403152" w:themeColor="accent4" w:themeShade="80"/>
        </w:rPr>
        <w:t xml:space="preserve"> Способ сбора информации такой </w:t>
      </w:r>
      <w:proofErr w:type="gramStart"/>
      <w:r w:rsidRPr="00D75C76">
        <w:rPr>
          <w:color w:val="403152" w:themeColor="accent4" w:themeShade="80"/>
        </w:rPr>
        <w:t>же</w:t>
      </w:r>
      <w:proofErr w:type="gramEnd"/>
      <w:r w:rsidRPr="00D75C76">
        <w:rPr>
          <w:color w:val="403152" w:themeColor="accent4" w:themeShade="80"/>
        </w:rPr>
        <w:t xml:space="preserve"> как и на первом этапе. В результате был создан коллаж «Портрет жителя </w:t>
      </w:r>
      <w:proofErr w:type="spellStart"/>
      <w:r w:rsidRPr="00D75C76">
        <w:rPr>
          <w:color w:val="403152" w:themeColor="accent4" w:themeShade="80"/>
        </w:rPr>
        <w:t>Порвоо</w:t>
      </w:r>
      <w:proofErr w:type="spellEnd"/>
      <w:r w:rsidRPr="00D75C76">
        <w:rPr>
          <w:color w:val="403152" w:themeColor="accent4" w:themeShade="80"/>
        </w:rPr>
        <w:t>» и представлен на заключительном этапе в виде устной защиты. Защита проекта осуществлялась на английском языке.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В процессе создания проектов учащиеся сами выбирают </w:t>
      </w:r>
      <w:proofErr w:type="gramStart"/>
      <w:r w:rsidRPr="00D75C76">
        <w:rPr>
          <w:color w:val="403152" w:themeColor="accent4" w:themeShade="80"/>
        </w:rPr>
        <w:t>форму</w:t>
      </w:r>
      <w:proofErr w:type="gramEnd"/>
      <w:r w:rsidRPr="00D75C76">
        <w:rPr>
          <w:color w:val="403152" w:themeColor="accent4" w:themeShade="80"/>
        </w:rPr>
        <w:t xml:space="preserve"> в которой они будут представлять проект, это может быть презентация в </w:t>
      </w:r>
      <w:r w:rsidRPr="00D75C76">
        <w:rPr>
          <w:color w:val="403152" w:themeColor="accent4" w:themeShade="80"/>
          <w:lang w:val="en-US"/>
        </w:rPr>
        <w:t>Power</w:t>
      </w:r>
      <w:r w:rsidRPr="00D75C76">
        <w:rPr>
          <w:color w:val="403152" w:themeColor="accent4" w:themeShade="80"/>
        </w:rPr>
        <w:t xml:space="preserve"> </w:t>
      </w:r>
      <w:r w:rsidRPr="00D75C76">
        <w:rPr>
          <w:color w:val="403152" w:themeColor="accent4" w:themeShade="80"/>
          <w:lang w:val="en-US"/>
        </w:rPr>
        <w:t>Point</w:t>
      </w:r>
      <w:r w:rsidRPr="00D75C76">
        <w:rPr>
          <w:color w:val="403152" w:themeColor="accent4" w:themeShade="80"/>
        </w:rPr>
        <w:t>, коллаж, фотовыставка, спектакль, плакат, выпуск газеты, брошюры, запись компактного диска.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В 2010 году в рамках недели иностранного языка была проведена фотовыставка «Британия в Петербурге». Группа учащихся в течени</w:t>
      </w:r>
      <w:proofErr w:type="gramStart"/>
      <w:r w:rsidRPr="00D75C76">
        <w:rPr>
          <w:color w:val="403152" w:themeColor="accent4" w:themeShade="80"/>
        </w:rPr>
        <w:t>и</w:t>
      </w:r>
      <w:proofErr w:type="gramEnd"/>
      <w:r w:rsidRPr="00D75C76">
        <w:rPr>
          <w:color w:val="403152" w:themeColor="accent4" w:themeShade="80"/>
        </w:rPr>
        <w:t xml:space="preserve"> недели искала и фотографировала, то что напоминает им о Британии, а потом обосновывали выбор той или иной фотографии.</w:t>
      </w:r>
    </w:p>
    <w:p w:rsidR="003C473E" w:rsidRPr="00D75C76" w:rsidRDefault="003C473E" w:rsidP="00D75C7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proofErr w:type="spellStart"/>
      <w:r w:rsidRPr="00D75C76">
        <w:rPr>
          <w:color w:val="403152" w:themeColor="accent4" w:themeShade="80"/>
        </w:rPr>
        <w:t>Здоровьесберегающие</w:t>
      </w:r>
      <w:proofErr w:type="spellEnd"/>
      <w:r w:rsidRPr="00D75C76">
        <w:rPr>
          <w:color w:val="403152" w:themeColor="accent4" w:themeShade="80"/>
        </w:rPr>
        <w:t xml:space="preserve"> технологии;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Сохранение здоровья школьников  - одна из важнейших задач учителя. Смена видов деятельности, </w:t>
      </w:r>
      <w:proofErr w:type="spellStart"/>
      <w:r w:rsidRPr="00D75C76">
        <w:rPr>
          <w:color w:val="403152" w:themeColor="accent4" w:themeShade="80"/>
        </w:rPr>
        <w:t>физминутка</w:t>
      </w:r>
      <w:proofErr w:type="spellEnd"/>
      <w:r w:rsidRPr="00D75C76">
        <w:rPr>
          <w:color w:val="403152" w:themeColor="accent4" w:themeShade="80"/>
        </w:rPr>
        <w:t xml:space="preserve">, глубокое дыхание, нестандартная форма урока, двигательная активность – все это не позволяет не уставать. </w:t>
      </w:r>
    </w:p>
    <w:p w:rsidR="003C473E" w:rsidRPr="00D75C76" w:rsidRDefault="003C473E" w:rsidP="00D75C76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lastRenderedPageBreak/>
        <w:t>Информационно-коммуникационные технологии.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    Информационно-коммуникационные технологии уже давно вошли в образовательный процесс. В своей работе я использую различные ресурсы, такие как: 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- фрагменты художественных, документальных и мультипликационных фильмов, также записи песен; 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- </w:t>
      </w:r>
      <w:r w:rsidRPr="00D75C76">
        <w:rPr>
          <w:color w:val="403152" w:themeColor="accent4" w:themeShade="80"/>
          <w:lang w:val="en-US"/>
        </w:rPr>
        <w:t>CD</w:t>
      </w:r>
      <w:r w:rsidRPr="00D75C76">
        <w:rPr>
          <w:color w:val="403152" w:themeColor="accent4" w:themeShade="80"/>
        </w:rPr>
        <w:t xml:space="preserve"> </w:t>
      </w:r>
      <w:r w:rsidRPr="00D75C76">
        <w:rPr>
          <w:color w:val="403152" w:themeColor="accent4" w:themeShade="80"/>
          <w:lang w:val="en-US"/>
        </w:rPr>
        <w:t>Rom</w:t>
      </w:r>
      <w:r w:rsidRPr="00D75C76">
        <w:rPr>
          <w:color w:val="403152" w:themeColor="accent4" w:themeShade="80"/>
        </w:rPr>
        <w:t xml:space="preserve"> 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- презентации</w:t>
      </w:r>
    </w:p>
    <w:p w:rsidR="003C473E" w:rsidRPr="00D75C76" w:rsidRDefault="003C473E" w:rsidP="00D75C76">
      <w:p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- интернет ресурсы (почта, </w:t>
      </w:r>
      <w:r w:rsidRPr="00D75C76">
        <w:rPr>
          <w:color w:val="403152" w:themeColor="accent4" w:themeShade="80"/>
          <w:lang w:val="en-US"/>
        </w:rPr>
        <w:t>You</w:t>
      </w:r>
      <w:r w:rsidRPr="00D75C76">
        <w:rPr>
          <w:color w:val="403152" w:themeColor="accent4" w:themeShade="80"/>
        </w:rPr>
        <w:t xml:space="preserve"> </w:t>
      </w:r>
      <w:r w:rsidRPr="00D75C76">
        <w:rPr>
          <w:color w:val="403152" w:themeColor="accent4" w:themeShade="80"/>
          <w:lang w:val="en-US"/>
        </w:rPr>
        <w:t>tube</w:t>
      </w:r>
      <w:r w:rsidRPr="00D75C76">
        <w:rPr>
          <w:color w:val="403152" w:themeColor="accent4" w:themeShade="80"/>
        </w:rPr>
        <w:t xml:space="preserve">, </w:t>
      </w:r>
      <w:r w:rsidRPr="00D75C76">
        <w:rPr>
          <w:color w:val="403152" w:themeColor="accent4" w:themeShade="80"/>
          <w:lang w:val="en-US"/>
        </w:rPr>
        <w:t>Web</w:t>
      </w:r>
      <w:r w:rsidRPr="00D75C76">
        <w:rPr>
          <w:color w:val="403152" w:themeColor="accent4" w:themeShade="80"/>
        </w:rPr>
        <w:t xml:space="preserve"> </w:t>
      </w:r>
      <w:r w:rsidRPr="00D75C76">
        <w:rPr>
          <w:color w:val="403152" w:themeColor="accent4" w:themeShade="80"/>
          <w:lang w:val="en-US"/>
        </w:rPr>
        <w:t>quest</w:t>
      </w:r>
      <w:r w:rsidRPr="00D75C76">
        <w:rPr>
          <w:color w:val="403152" w:themeColor="accent4" w:themeShade="80"/>
        </w:rPr>
        <w:t>, интернет олимпиады)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Помимо образовательных технологий я использую специальные упражнения, способствующие созданию комфортной атмосферы. Во-первых, я даю возможность своим ученикам свободно выбирать место, где они сидят, это позволяет им чувствовать себя свободнее и естественнее, определяются пары с лучшей психологической совместимостью. Во-вторых, при отборе домашнего задания, я всегда учитываю индивидуальные особенности своих учеников, интересы, часто предлагаю альтернативное задание, которое дети могут выбрать сами. В-третьих, улыбка, зрительный контакт, дружелюбное рукопожатие, слова одобрения, хорошее настроение, чувство юмора все это в совокупности оказывает благотворное воздействие на ученика и на группу в целом. В-четвертых, отсутствие «</w:t>
      </w:r>
      <w:proofErr w:type="spellStart"/>
      <w:r w:rsidRPr="00D75C76">
        <w:rPr>
          <w:color w:val="403152" w:themeColor="accent4" w:themeShade="80"/>
        </w:rPr>
        <w:t>Ты-сообщений</w:t>
      </w:r>
      <w:proofErr w:type="spellEnd"/>
      <w:r w:rsidRPr="00D75C76">
        <w:rPr>
          <w:color w:val="403152" w:themeColor="accent4" w:themeShade="80"/>
        </w:rPr>
        <w:t xml:space="preserve">» </w:t>
      </w:r>
      <w:proofErr w:type="gramStart"/>
      <w:r w:rsidRPr="00D75C76">
        <w:rPr>
          <w:color w:val="403152" w:themeColor="accent4" w:themeShade="80"/>
        </w:rPr>
        <w:t xml:space="preserve">( </w:t>
      </w:r>
      <w:proofErr w:type="gramEnd"/>
      <w:r w:rsidRPr="00D75C76">
        <w:rPr>
          <w:color w:val="403152" w:themeColor="accent4" w:themeShade="80"/>
        </w:rPr>
        <w:t>Ты, не выучил, ты не сделал, и т.д.) ученик чувствует негатив и свою вину и как следствие не готов к дальнейшей работе, а если заменить их на «</w:t>
      </w:r>
      <w:proofErr w:type="spellStart"/>
      <w:r w:rsidRPr="00D75C76">
        <w:rPr>
          <w:color w:val="403152" w:themeColor="accent4" w:themeShade="80"/>
        </w:rPr>
        <w:t>Я-сообщения</w:t>
      </w:r>
      <w:proofErr w:type="spellEnd"/>
      <w:r w:rsidRPr="00D75C76">
        <w:rPr>
          <w:color w:val="403152" w:themeColor="accent4" w:themeShade="80"/>
        </w:rPr>
        <w:t>», то результат будет противоположный (</w:t>
      </w:r>
      <w:proofErr w:type="spellStart"/>
      <w:r w:rsidRPr="00D75C76">
        <w:rPr>
          <w:color w:val="403152" w:themeColor="accent4" w:themeShade="80"/>
        </w:rPr>
        <w:t>Я-огорчена</w:t>
      </w:r>
      <w:proofErr w:type="spellEnd"/>
      <w:r w:rsidRPr="00D75C76">
        <w:rPr>
          <w:color w:val="403152" w:themeColor="accent4" w:themeShade="80"/>
        </w:rPr>
        <w:t>, но в тебя верю) и у ребенка появляется желание изменить ситуацию. В своей работе я также использую ряд упражнений имеющих общие черты с психологическим тренингом.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1) Упражнения, формирующие уважительные отношения между учащимися в группе: познакомиться, узнать цели и задачи каждого при работе в группе, создать атмосферу доверия, развивать внимание, формировать интерес к партнерам в группе, мотивировать на дальнейшее совместное обучение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Пример: игра «Комплимент»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Скажи, какие чувства ты испытываешь, общаясь с одноклассниками. Используй</w:t>
      </w:r>
      <w:r w:rsidRPr="00D75C76">
        <w:rPr>
          <w:color w:val="403152" w:themeColor="accent4" w:themeShade="80"/>
          <w:lang w:val="en-US"/>
        </w:rPr>
        <w:t xml:space="preserve"> </w:t>
      </w:r>
      <w:r w:rsidRPr="00D75C76">
        <w:rPr>
          <w:color w:val="403152" w:themeColor="accent4" w:themeShade="80"/>
        </w:rPr>
        <w:t>выражения</w:t>
      </w:r>
      <w:r w:rsidRPr="00D75C76">
        <w:rPr>
          <w:color w:val="403152" w:themeColor="accent4" w:themeShade="80"/>
          <w:lang w:val="en-US"/>
        </w:rPr>
        <w:t xml:space="preserve"> “I feel like …”, “I am happy/ I am glad/ It’s nice to work with you/that you are my friend….”. </w:t>
      </w:r>
      <w:r w:rsidRPr="00D75C76">
        <w:rPr>
          <w:color w:val="403152" w:themeColor="accent4" w:themeShade="80"/>
        </w:rPr>
        <w:t>Можно попросить продолжить фразу объяснением  “</w:t>
      </w:r>
      <w:proofErr w:type="spellStart"/>
      <w:r w:rsidRPr="00D75C76">
        <w:rPr>
          <w:color w:val="403152" w:themeColor="accent4" w:themeShade="80"/>
        </w:rPr>
        <w:t>because</w:t>
      </w:r>
      <w:proofErr w:type="spellEnd"/>
      <w:r w:rsidRPr="00D75C76">
        <w:rPr>
          <w:color w:val="403152" w:themeColor="accent4" w:themeShade="80"/>
        </w:rPr>
        <w:t xml:space="preserve"> </w:t>
      </w:r>
      <w:proofErr w:type="spellStart"/>
      <w:r w:rsidRPr="00D75C76">
        <w:rPr>
          <w:color w:val="403152" w:themeColor="accent4" w:themeShade="80"/>
        </w:rPr>
        <w:t>you</w:t>
      </w:r>
      <w:proofErr w:type="spellEnd"/>
      <w:r w:rsidRPr="00D75C76">
        <w:rPr>
          <w:color w:val="403152" w:themeColor="accent4" w:themeShade="80"/>
        </w:rPr>
        <w:t xml:space="preserve"> </w:t>
      </w:r>
      <w:proofErr w:type="spellStart"/>
      <w:r w:rsidRPr="00D75C76">
        <w:rPr>
          <w:color w:val="403152" w:themeColor="accent4" w:themeShade="80"/>
        </w:rPr>
        <w:t>are</w:t>
      </w:r>
      <w:proofErr w:type="spellEnd"/>
      <w:r w:rsidRPr="00D75C76">
        <w:rPr>
          <w:color w:val="403152" w:themeColor="accent4" w:themeShade="80"/>
        </w:rPr>
        <w:t xml:space="preserve"> </w:t>
      </w:r>
      <w:proofErr w:type="spellStart"/>
      <w:r w:rsidRPr="00D75C76">
        <w:rPr>
          <w:color w:val="403152" w:themeColor="accent4" w:themeShade="80"/>
        </w:rPr>
        <w:t>so</w:t>
      </w:r>
      <w:proofErr w:type="spellEnd"/>
      <w:r w:rsidRPr="00D75C76">
        <w:rPr>
          <w:color w:val="403152" w:themeColor="accent4" w:themeShade="80"/>
        </w:rPr>
        <w:t xml:space="preserve"> …”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2) Упражнения, помогающие сплочению: создают благоприятную атмосферу для групповой (</w:t>
      </w:r>
      <w:proofErr w:type="gramStart"/>
      <w:r w:rsidRPr="00D75C76">
        <w:rPr>
          <w:color w:val="403152" w:themeColor="accent4" w:themeShade="80"/>
        </w:rPr>
        <w:t xml:space="preserve">командной) </w:t>
      </w:r>
      <w:proofErr w:type="gramEnd"/>
      <w:r w:rsidRPr="00D75C76">
        <w:rPr>
          <w:color w:val="403152" w:themeColor="accent4" w:themeShade="80"/>
        </w:rPr>
        <w:t>работы,  создают условия для чувства эмоциональной поддержки, развивают самосознание учащихся, ответственность за свою работу в группе и работу группы как единой сплоченной команды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Пример: «Печатная машинка» 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Участникам загадывается слово или фраза. Буквы, составляющие текст, распределяются между членами группы. Затем фраза должна быть сказана как можно быстрее, причем каждый называет свою букву, а в промежутках между словами все хлопают в ладоши.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3) Упражнения, развивающие способность к адекватному восприятию, пониманию партнера: позволяют узнать особенности других людей, научиться понимать эмоциональное состояние, преодолеть неприятие, научиться владеть средствами вербального  и невербального общения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Пример: «Ассоциации»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Команды подбирают ассоциативный ряд к какому-нибудь слову из активной лексики, другая команда должна догадаться, о чем идет речь. Можно дать задание дополнить ассоциативный ряд противоположной команды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4) Упражнения, развивающие коммуникативные навыки. Использование этой группы упражнений позволяет преодолеть барьеры в общении, развивать навыки публичных выступлений, навыки выражения и аргументирования собственного мнения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proofErr w:type="spellStart"/>
      <w:r w:rsidRPr="00D75C76">
        <w:rPr>
          <w:color w:val="403152" w:themeColor="accent4" w:themeShade="80"/>
        </w:rPr>
        <w:t>Пример</w:t>
      </w:r>
      <w:proofErr w:type="gramStart"/>
      <w:r w:rsidRPr="00D75C76">
        <w:rPr>
          <w:color w:val="403152" w:themeColor="accent4" w:themeShade="80"/>
        </w:rPr>
        <w:t>:У</w:t>
      </w:r>
      <w:proofErr w:type="gramEnd"/>
      <w:r w:rsidRPr="00D75C76">
        <w:rPr>
          <w:color w:val="403152" w:themeColor="accent4" w:themeShade="80"/>
        </w:rPr>
        <w:t>пражнение</w:t>
      </w:r>
      <w:proofErr w:type="spellEnd"/>
      <w:r w:rsidRPr="00D75C76">
        <w:rPr>
          <w:color w:val="403152" w:themeColor="accent4" w:themeShade="80"/>
        </w:rPr>
        <w:t xml:space="preserve"> «Ведение переговоров»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Цель: обучение навыку отстаивания своего мнения, убеждения, преодоления давления.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Ход упражнения: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Реши, действительно ли вы с собеседником расходитесь во мнениях.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Изложи собственную позицию и подчеркни уважение к чужому мнению.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Спроси собеседника, что он думает о проблеме.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Внимательно выслушай его ответ.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Подумай, что в его мнении является позитивным.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lastRenderedPageBreak/>
        <w:t>Предложи компромисс, учитывающий мнение и чувства обеих сторон.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Пример ситуаций: решить, какой фильм смотреть по телевизору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5) Упражнения,  позволяющие формировать рефлексивные навыки.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Пример: игра «Что со мной произошло»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Учащиеся коротко в 3 предложениях рассказывают друг другу о том, какие интересные события в их жизни произошли накануне. Затем, меняясь в парами, пересказывают друг другу </w:t>
      </w:r>
      <w:proofErr w:type="gramStart"/>
      <w:r w:rsidRPr="00D75C76">
        <w:rPr>
          <w:color w:val="403152" w:themeColor="accent4" w:themeShade="80"/>
        </w:rPr>
        <w:t>услышанное</w:t>
      </w:r>
      <w:proofErr w:type="gramEnd"/>
      <w:r w:rsidRPr="00D75C76">
        <w:rPr>
          <w:color w:val="403152" w:themeColor="accent4" w:themeShade="80"/>
        </w:rPr>
        <w:t>. Тренируются грамматические и лексические структуры, внимательность, память.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Основная идея данного метода, а именно решение коммуникативных задач через создание психологически благоприятной атмосферы нашла свое подтверждение. Ученики, с которыми я работаю, демонстрируют свою готовность к международной коммуникации, они обладают более высокой мотивацией. Мои ученики задействованы во всех мероприятиях связанных с английским языком. В прошлом году вся моя группа выпускников сдавала единый государственный экзамен, результаты выросли по сравнению с предыдущими годами, выпускники показали достаточно высокие результаты (72, 75,76,82 балла). Все выпускники поступили в ВУЗЫ, две выпускницы продолжили свое лингвистическое образование теперь уже в высшей школе. 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</w:p>
    <w:tbl>
      <w:tblPr>
        <w:tblStyle w:val="a3"/>
        <w:tblW w:w="0" w:type="auto"/>
        <w:tblLook w:val="04A0"/>
      </w:tblPr>
      <w:tblGrid>
        <w:gridCol w:w="1421"/>
        <w:gridCol w:w="1938"/>
        <w:gridCol w:w="1570"/>
        <w:gridCol w:w="1759"/>
        <w:gridCol w:w="1579"/>
        <w:gridCol w:w="1304"/>
      </w:tblGrid>
      <w:tr w:rsidR="003C473E" w:rsidRPr="00D75C76" w:rsidTr="00720DEC">
        <w:tc>
          <w:tcPr>
            <w:tcW w:w="1421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Год</w:t>
            </w:r>
          </w:p>
        </w:tc>
        <w:tc>
          <w:tcPr>
            <w:tcW w:w="1938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Международные проекты гимназии 32</w:t>
            </w:r>
          </w:p>
        </w:tc>
        <w:tc>
          <w:tcPr>
            <w:tcW w:w="1570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ШНПК</w:t>
            </w:r>
          </w:p>
        </w:tc>
        <w:tc>
          <w:tcPr>
            <w:tcW w:w="175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Неделя английского языка</w:t>
            </w:r>
          </w:p>
        </w:tc>
        <w:tc>
          <w:tcPr>
            <w:tcW w:w="157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spacing w:after="120"/>
              <w:rPr>
                <w:color w:val="403152" w:themeColor="accent4" w:themeShade="80"/>
                <w:lang w:val="en-US"/>
              </w:rPr>
            </w:pPr>
            <w:r w:rsidRPr="00D75C76">
              <w:rPr>
                <w:color w:val="403152" w:themeColor="accent4" w:themeShade="80"/>
                <w:lang w:val="en-US"/>
              </w:rPr>
              <w:t>British Bulldog</w:t>
            </w:r>
          </w:p>
        </w:tc>
        <w:tc>
          <w:tcPr>
            <w:tcW w:w="1304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spacing w:after="12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ЕГЭ</w:t>
            </w:r>
          </w:p>
        </w:tc>
      </w:tr>
      <w:tr w:rsidR="003C473E" w:rsidRPr="00D75C76" w:rsidTr="00720DEC">
        <w:tc>
          <w:tcPr>
            <w:tcW w:w="1421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2008-2009</w:t>
            </w:r>
          </w:p>
        </w:tc>
        <w:tc>
          <w:tcPr>
            <w:tcW w:w="1938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15(6)</w:t>
            </w:r>
          </w:p>
        </w:tc>
        <w:tc>
          <w:tcPr>
            <w:tcW w:w="1570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14 (10)</w:t>
            </w:r>
          </w:p>
        </w:tc>
        <w:tc>
          <w:tcPr>
            <w:tcW w:w="175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120 (70)</w:t>
            </w:r>
          </w:p>
        </w:tc>
        <w:tc>
          <w:tcPr>
            <w:tcW w:w="157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78 (65)</w:t>
            </w:r>
          </w:p>
        </w:tc>
        <w:tc>
          <w:tcPr>
            <w:tcW w:w="1304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2 (1)</w:t>
            </w:r>
          </w:p>
        </w:tc>
      </w:tr>
      <w:tr w:rsidR="003C473E" w:rsidRPr="00D75C76" w:rsidTr="00720DEC">
        <w:tc>
          <w:tcPr>
            <w:tcW w:w="1421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2009-2010</w:t>
            </w:r>
          </w:p>
        </w:tc>
        <w:tc>
          <w:tcPr>
            <w:tcW w:w="1938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30 (15)</w:t>
            </w:r>
          </w:p>
        </w:tc>
        <w:tc>
          <w:tcPr>
            <w:tcW w:w="1570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15 (11)</w:t>
            </w:r>
          </w:p>
        </w:tc>
        <w:tc>
          <w:tcPr>
            <w:tcW w:w="175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134 (76)</w:t>
            </w:r>
          </w:p>
        </w:tc>
        <w:tc>
          <w:tcPr>
            <w:tcW w:w="157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150 (70)</w:t>
            </w:r>
          </w:p>
        </w:tc>
        <w:tc>
          <w:tcPr>
            <w:tcW w:w="1304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15(6)</w:t>
            </w:r>
          </w:p>
        </w:tc>
      </w:tr>
      <w:tr w:rsidR="003C473E" w:rsidRPr="00D75C76" w:rsidTr="00720DEC">
        <w:tc>
          <w:tcPr>
            <w:tcW w:w="1421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2010-2011</w:t>
            </w:r>
          </w:p>
        </w:tc>
        <w:tc>
          <w:tcPr>
            <w:tcW w:w="1938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34 (20)</w:t>
            </w:r>
          </w:p>
        </w:tc>
        <w:tc>
          <w:tcPr>
            <w:tcW w:w="1570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18 (14)</w:t>
            </w:r>
          </w:p>
        </w:tc>
        <w:tc>
          <w:tcPr>
            <w:tcW w:w="175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115 (81)</w:t>
            </w:r>
          </w:p>
        </w:tc>
        <w:tc>
          <w:tcPr>
            <w:tcW w:w="1579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220 (82)</w:t>
            </w:r>
          </w:p>
        </w:tc>
        <w:tc>
          <w:tcPr>
            <w:tcW w:w="1304" w:type="dxa"/>
          </w:tcPr>
          <w:p w:rsidR="003C473E" w:rsidRPr="00D75C76" w:rsidRDefault="003C473E" w:rsidP="00D75C76">
            <w:pPr>
              <w:overflowPunct w:val="0"/>
              <w:autoSpaceDE w:val="0"/>
              <w:autoSpaceDN w:val="0"/>
              <w:adjustRightInd w:val="0"/>
              <w:rPr>
                <w:color w:val="403152" w:themeColor="accent4" w:themeShade="80"/>
              </w:rPr>
            </w:pPr>
            <w:r w:rsidRPr="00D75C76">
              <w:rPr>
                <w:color w:val="403152" w:themeColor="accent4" w:themeShade="80"/>
              </w:rPr>
              <w:t>(8)</w:t>
            </w:r>
          </w:p>
        </w:tc>
      </w:tr>
    </w:tbl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 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Я уверена, что образованию наших детей надо уделять особое внимание, но не меньшего внимания заслуживает формирование психологической культуры личности. Современное общество предъявляет высокие стандарты к инициативности, компетентности человека в общении. Проблема современных подростков-выпускников школ заключается в недостатке коммуникативных умений и навыков, которые помогали бы им адаптироваться в быстро меняющихся социальных условиях. Трудности и противоречия современной жизни создают атмосферу страха, вызывают ощущение «одиночества в толпе», рождает чувство неуверенности, замешательства. Поэтому фундамент психологически успешной личности необходимо заложить еще в школьные годы. Систематическая работа над формированием коммуникативных навыков </w:t>
      </w:r>
      <w:proofErr w:type="gramStart"/>
      <w:r w:rsidRPr="00D75C76">
        <w:rPr>
          <w:color w:val="403152" w:themeColor="accent4" w:themeShade="80"/>
        </w:rPr>
        <w:t>принесет высокий результат</w:t>
      </w:r>
      <w:proofErr w:type="gramEnd"/>
      <w:r w:rsidRPr="00D75C76">
        <w:rPr>
          <w:color w:val="403152" w:themeColor="accent4" w:themeShade="80"/>
        </w:rPr>
        <w:t>, только если условия, созданные для успешного обучения будут благоприятные. Необходимо также вести целенаправленную работу над формированием этих условий, ежедневно, на каждом уроке, давая возможность ученикам раскрыться, раскрепоститься, поверить в себя и свои силы.  Выполнение специальных упражнений помогает  развивать способность личности эффективно взаимодействовать с окружающими людьми, помогает решать проблемы  межличностного и делового общения, вырабатывать жизненно важные навыки, ощущая при этом психологический комфорт и защищенность.</w:t>
      </w:r>
    </w:p>
    <w:p w:rsidR="003C473E" w:rsidRPr="00D75C76" w:rsidRDefault="003C473E" w:rsidP="00D75C76">
      <w:pPr>
        <w:overflowPunct w:val="0"/>
        <w:autoSpaceDE w:val="0"/>
        <w:autoSpaceDN w:val="0"/>
        <w:adjustRightInd w:val="0"/>
        <w:rPr>
          <w:color w:val="403152" w:themeColor="accent4" w:themeShade="80"/>
        </w:rPr>
      </w:pPr>
    </w:p>
    <w:p w:rsidR="003C473E" w:rsidRPr="00D75C76" w:rsidRDefault="003C473E" w:rsidP="003C473E">
      <w:pPr>
        <w:ind w:firstLine="225"/>
        <w:rPr>
          <w:color w:val="403152" w:themeColor="accent4" w:themeShade="80"/>
        </w:rPr>
      </w:pPr>
    </w:p>
    <w:p w:rsidR="003C473E" w:rsidRPr="00D75C76" w:rsidRDefault="003C473E" w:rsidP="003C473E">
      <w:pPr>
        <w:jc w:val="center"/>
        <w:rPr>
          <w:color w:val="403152" w:themeColor="accent4" w:themeShade="80"/>
        </w:rPr>
      </w:pPr>
    </w:p>
    <w:p w:rsidR="003C473E" w:rsidRPr="00D75C76" w:rsidRDefault="003C473E" w:rsidP="003C473E">
      <w:pPr>
        <w:pStyle w:val="a4"/>
        <w:ind w:left="720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_*- цитата с сайта</w:t>
      </w:r>
    </w:p>
    <w:p w:rsidR="003C473E" w:rsidRPr="00D75C76" w:rsidRDefault="003C473E" w:rsidP="003C473E">
      <w:pPr>
        <w:jc w:val="center"/>
        <w:rPr>
          <w:color w:val="403152" w:themeColor="accent4" w:themeShade="80"/>
        </w:rPr>
      </w:pPr>
    </w:p>
    <w:p w:rsidR="003C473E" w:rsidRPr="00D75C76" w:rsidRDefault="003C473E" w:rsidP="003C473E">
      <w:pPr>
        <w:jc w:val="center"/>
        <w:rPr>
          <w:color w:val="403152" w:themeColor="accent4" w:themeShade="80"/>
        </w:rPr>
      </w:pPr>
    </w:p>
    <w:p w:rsidR="003C473E" w:rsidRPr="00D75C76" w:rsidRDefault="003C473E" w:rsidP="003C473E">
      <w:pPr>
        <w:jc w:val="center"/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Список литературы</w:t>
      </w:r>
    </w:p>
    <w:p w:rsidR="003C473E" w:rsidRPr="00D75C76" w:rsidRDefault="003C473E" w:rsidP="003C473E">
      <w:pPr>
        <w:jc w:val="center"/>
        <w:rPr>
          <w:color w:val="403152" w:themeColor="accent4" w:themeShade="80"/>
        </w:rPr>
      </w:pP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proofErr w:type="spellStart"/>
      <w:r w:rsidRPr="00D75C76">
        <w:rPr>
          <w:color w:val="403152" w:themeColor="accent4" w:themeShade="80"/>
        </w:rPr>
        <w:t>Белкова</w:t>
      </w:r>
      <w:proofErr w:type="spellEnd"/>
      <w:r w:rsidRPr="00D75C76">
        <w:rPr>
          <w:color w:val="403152" w:themeColor="accent4" w:themeShade="80"/>
        </w:rPr>
        <w:t xml:space="preserve"> М. М. Информационные компьютерные технологии на уроках английского языка // Английский язык в школе. 2008,.№,.с.73–75.</w:t>
      </w: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lastRenderedPageBreak/>
        <w:t xml:space="preserve">Беляева Л. А., Иванова Н. В. Презентация </w:t>
      </w:r>
      <w:proofErr w:type="spellStart"/>
      <w:r w:rsidRPr="00D75C76">
        <w:rPr>
          <w:color w:val="403152" w:themeColor="accent4" w:themeShade="80"/>
        </w:rPr>
        <w:t>PowerPoint</w:t>
      </w:r>
      <w:proofErr w:type="spellEnd"/>
      <w:r w:rsidRPr="00D75C76">
        <w:rPr>
          <w:color w:val="403152" w:themeColor="accent4" w:themeShade="80"/>
        </w:rPr>
        <w:t xml:space="preserve"> и ее возможности при обучении иностранным языкам // </w:t>
      </w:r>
      <w:proofErr w:type="spellStart"/>
      <w:r w:rsidRPr="00D75C76">
        <w:rPr>
          <w:color w:val="403152" w:themeColor="accent4" w:themeShade="80"/>
        </w:rPr>
        <w:t>Иностр</w:t>
      </w:r>
      <w:proofErr w:type="spellEnd"/>
      <w:r w:rsidRPr="00D75C76">
        <w:rPr>
          <w:color w:val="403152" w:themeColor="accent4" w:themeShade="80"/>
        </w:rPr>
        <w:t>. языки в школе.2008, №4, с.36–40.</w:t>
      </w: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proofErr w:type="spellStart"/>
      <w:r w:rsidRPr="00D75C76">
        <w:rPr>
          <w:color w:val="403152" w:themeColor="accent4" w:themeShade="80"/>
        </w:rPr>
        <w:t>Кисунько</w:t>
      </w:r>
      <w:proofErr w:type="spellEnd"/>
      <w:r w:rsidRPr="00D75C76">
        <w:rPr>
          <w:color w:val="403152" w:themeColor="accent4" w:themeShade="80"/>
        </w:rPr>
        <w:t xml:space="preserve"> Е. И., </w:t>
      </w:r>
      <w:proofErr w:type="spellStart"/>
      <w:r w:rsidRPr="00D75C76">
        <w:rPr>
          <w:color w:val="403152" w:themeColor="accent4" w:themeShade="80"/>
        </w:rPr>
        <w:t>Музланова</w:t>
      </w:r>
      <w:proofErr w:type="spellEnd"/>
      <w:r w:rsidRPr="00D75C76">
        <w:rPr>
          <w:color w:val="403152" w:themeColor="accent4" w:themeShade="80"/>
        </w:rPr>
        <w:t xml:space="preserve"> Е. С. Интерактивное обучение учащихся 10–11-х классов английскому языку с использованием компьютерных технологий // Английский язык, Изд. дом “Первое сентября”. 2007, №16, с.5–8.</w:t>
      </w: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proofErr w:type="spellStart"/>
      <w:r w:rsidRPr="00D75C76">
        <w:rPr>
          <w:color w:val="403152" w:themeColor="accent4" w:themeShade="80"/>
        </w:rPr>
        <w:t>Муковникова</w:t>
      </w:r>
      <w:proofErr w:type="spellEnd"/>
      <w:r w:rsidRPr="00D75C76">
        <w:rPr>
          <w:color w:val="403152" w:themeColor="accent4" w:themeShade="80"/>
        </w:rPr>
        <w:t xml:space="preserve"> Е. В. Эффективное использование цифровых образовательных ресурсов на уроках английского языка // Английский язык, Изд. дом “Первое сентября”. 2008, №4, с.4–7.</w:t>
      </w: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>Носенко О. В., Белоус Е. П. Обучающие программы для общеобразовательных школ // Английский язык в школе. 2009, №1, с.68–73.</w:t>
      </w: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r w:rsidRPr="00D75C76">
        <w:rPr>
          <w:color w:val="403152" w:themeColor="accent4" w:themeShade="80"/>
        </w:rPr>
        <w:t xml:space="preserve">Волкова С.П., </w:t>
      </w:r>
      <w:proofErr w:type="spellStart"/>
      <w:r w:rsidRPr="00D75C76">
        <w:rPr>
          <w:color w:val="403152" w:themeColor="accent4" w:themeShade="80"/>
        </w:rPr>
        <w:t>Соловцова</w:t>
      </w:r>
      <w:proofErr w:type="spellEnd"/>
      <w:r w:rsidRPr="00D75C76">
        <w:rPr>
          <w:color w:val="403152" w:themeColor="accent4" w:themeShade="80"/>
        </w:rPr>
        <w:t xml:space="preserve"> Е.Е., «Психология и культура делового общения. Программа тренинга», журнал «Школьные технологии», №6, 2002г</w:t>
      </w: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proofErr w:type="spellStart"/>
      <w:r w:rsidRPr="00D75C76">
        <w:rPr>
          <w:color w:val="403152" w:themeColor="accent4" w:themeShade="80"/>
        </w:rPr>
        <w:t>Майорова</w:t>
      </w:r>
      <w:proofErr w:type="spellEnd"/>
      <w:r w:rsidRPr="00D75C76">
        <w:rPr>
          <w:color w:val="403152" w:themeColor="accent4" w:themeShade="80"/>
        </w:rPr>
        <w:t xml:space="preserve"> Н.П., </w:t>
      </w:r>
      <w:proofErr w:type="spellStart"/>
      <w:r w:rsidRPr="00D75C76">
        <w:rPr>
          <w:color w:val="403152" w:themeColor="accent4" w:themeShade="80"/>
        </w:rPr>
        <w:t>Чепурных</w:t>
      </w:r>
      <w:proofErr w:type="spellEnd"/>
      <w:r w:rsidRPr="00D75C76">
        <w:rPr>
          <w:color w:val="403152" w:themeColor="accent4" w:themeShade="80"/>
        </w:rPr>
        <w:t xml:space="preserve"> Е.Е., </w:t>
      </w:r>
      <w:proofErr w:type="spellStart"/>
      <w:r w:rsidRPr="00D75C76">
        <w:rPr>
          <w:color w:val="403152" w:themeColor="accent4" w:themeShade="80"/>
        </w:rPr>
        <w:t>Шурухт</w:t>
      </w:r>
      <w:proofErr w:type="spellEnd"/>
      <w:r w:rsidRPr="00D75C76">
        <w:rPr>
          <w:color w:val="403152" w:themeColor="accent4" w:themeShade="80"/>
        </w:rPr>
        <w:t xml:space="preserve"> С.М., «Обучение жизненно важным навыкам в школе: пособие для классных руководителей» /под ред. </w:t>
      </w:r>
      <w:proofErr w:type="spellStart"/>
      <w:r w:rsidRPr="00D75C76">
        <w:rPr>
          <w:color w:val="403152" w:themeColor="accent4" w:themeShade="80"/>
        </w:rPr>
        <w:t>Н.П.Майоровой</w:t>
      </w:r>
      <w:proofErr w:type="spellEnd"/>
      <w:r w:rsidRPr="00D75C76">
        <w:rPr>
          <w:color w:val="403152" w:themeColor="accent4" w:themeShade="80"/>
        </w:rPr>
        <w:t>. – СПб</w:t>
      </w:r>
      <w:proofErr w:type="gramStart"/>
      <w:r w:rsidRPr="00D75C76">
        <w:rPr>
          <w:color w:val="403152" w:themeColor="accent4" w:themeShade="80"/>
        </w:rPr>
        <w:t xml:space="preserve">.: </w:t>
      </w:r>
      <w:proofErr w:type="gramEnd"/>
      <w:r w:rsidRPr="00D75C76">
        <w:rPr>
          <w:color w:val="403152" w:themeColor="accent4" w:themeShade="80"/>
        </w:rPr>
        <w:t>Издательство «Образование – Культура», 2002г.</w:t>
      </w:r>
    </w:p>
    <w:p w:rsidR="003C473E" w:rsidRPr="00D75C76" w:rsidRDefault="003C473E" w:rsidP="003C473E">
      <w:pPr>
        <w:pStyle w:val="a4"/>
        <w:numPr>
          <w:ilvl w:val="0"/>
          <w:numId w:val="2"/>
        </w:numPr>
        <w:rPr>
          <w:color w:val="403152" w:themeColor="accent4" w:themeShade="80"/>
        </w:rPr>
      </w:pPr>
      <w:proofErr w:type="spellStart"/>
      <w:r w:rsidRPr="00D75C76">
        <w:rPr>
          <w:color w:val="403152" w:themeColor="accent4" w:themeShade="80"/>
          <w:lang w:val="en-US"/>
        </w:rPr>
        <w:t>Hoopes</w:t>
      </w:r>
      <w:proofErr w:type="spellEnd"/>
      <w:r w:rsidRPr="00D75C76">
        <w:rPr>
          <w:color w:val="403152" w:themeColor="accent4" w:themeShade="80"/>
          <w:lang w:val="en-US"/>
        </w:rPr>
        <w:t xml:space="preserve"> D.S. Intercultural communication concepts and the psychology of intercultural experience// Push M.D.: Multicultural education. </w:t>
      </w:r>
      <w:r w:rsidRPr="00D75C76">
        <w:rPr>
          <w:color w:val="403152" w:themeColor="accent4" w:themeShade="80"/>
        </w:rPr>
        <w:t xml:space="preserve">A </w:t>
      </w:r>
      <w:proofErr w:type="spellStart"/>
      <w:r w:rsidRPr="00D75C76">
        <w:rPr>
          <w:color w:val="403152" w:themeColor="accent4" w:themeShade="80"/>
        </w:rPr>
        <w:t>cross-cultural</w:t>
      </w:r>
      <w:proofErr w:type="spellEnd"/>
      <w:r w:rsidRPr="00D75C76">
        <w:rPr>
          <w:color w:val="403152" w:themeColor="accent4" w:themeShade="80"/>
        </w:rPr>
        <w:t xml:space="preserve"> </w:t>
      </w:r>
      <w:proofErr w:type="spellStart"/>
      <w:r w:rsidRPr="00D75C76">
        <w:rPr>
          <w:color w:val="403152" w:themeColor="accent4" w:themeShade="80"/>
        </w:rPr>
        <w:t>training</w:t>
      </w:r>
      <w:proofErr w:type="spellEnd"/>
      <w:r w:rsidRPr="00D75C76">
        <w:rPr>
          <w:color w:val="403152" w:themeColor="accent4" w:themeShade="80"/>
        </w:rPr>
        <w:t xml:space="preserve"> </w:t>
      </w:r>
      <w:proofErr w:type="spellStart"/>
      <w:r w:rsidRPr="00D75C76">
        <w:rPr>
          <w:color w:val="403152" w:themeColor="accent4" w:themeShade="80"/>
        </w:rPr>
        <w:t>approach</w:t>
      </w:r>
      <w:proofErr w:type="spellEnd"/>
      <w:r w:rsidRPr="00D75C76">
        <w:rPr>
          <w:color w:val="403152" w:themeColor="accent4" w:themeShade="80"/>
        </w:rPr>
        <w:t xml:space="preserve">. </w:t>
      </w:r>
      <w:proofErr w:type="spellStart"/>
      <w:r w:rsidRPr="00D75C76">
        <w:rPr>
          <w:color w:val="403152" w:themeColor="accent4" w:themeShade="80"/>
        </w:rPr>
        <w:t>Chicago</w:t>
      </w:r>
      <w:proofErr w:type="spellEnd"/>
      <w:r w:rsidRPr="00D75C76">
        <w:rPr>
          <w:color w:val="403152" w:themeColor="accent4" w:themeShade="80"/>
        </w:rPr>
        <w:t xml:space="preserve">, 1981. - </w:t>
      </w:r>
      <w:proofErr w:type="spellStart"/>
      <w:r w:rsidRPr="00D75C76">
        <w:rPr>
          <w:color w:val="403152" w:themeColor="accent4" w:themeShade="80"/>
        </w:rPr>
        <w:t>Pp</w:t>
      </w:r>
      <w:proofErr w:type="spellEnd"/>
      <w:r w:rsidRPr="00D75C76">
        <w:rPr>
          <w:color w:val="403152" w:themeColor="accent4" w:themeShade="80"/>
        </w:rPr>
        <w:t>. 9-38.</w:t>
      </w:r>
    </w:p>
    <w:p w:rsidR="003C473E" w:rsidRPr="00FE14C3" w:rsidRDefault="003C473E" w:rsidP="003C473E">
      <w:pPr>
        <w:rPr>
          <w:lang w:val="en-US"/>
        </w:rPr>
      </w:pPr>
    </w:p>
    <w:p w:rsidR="003C473E" w:rsidRPr="00FE14C3" w:rsidRDefault="003C473E" w:rsidP="003C473E">
      <w:pPr>
        <w:rPr>
          <w:lang w:val="en-US"/>
        </w:rPr>
      </w:pPr>
    </w:p>
    <w:p w:rsidR="003C473E" w:rsidRPr="00FE14C3" w:rsidRDefault="003C473E" w:rsidP="003C473E">
      <w:pPr>
        <w:rPr>
          <w:lang w:val="en-US"/>
        </w:rPr>
      </w:pPr>
    </w:p>
    <w:p w:rsidR="003C473E" w:rsidRPr="00FE14C3" w:rsidRDefault="003C473E" w:rsidP="003C473E">
      <w:pPr>
        <w:rPr>
          <w:lang w:val="en-US"/>
        </w:rPr>
      </w:pPr>
    </w:p>
    <w:p w:rsidR="003C473E" w:rsidRPr="00FE14C3" w:rsidRDefault="003C473E" w:rsidP="003C473E">
      <w:pPr>
        <w:rPr>
          <w:lang w:val="en-US"/>
        </w:rPr>
      </w:pPr>
      <w:r w:rsidRPr="00FE14C3">
        <w:rPr>
          <w:lang w:val="en-US"/>
        </w:rPr>
        <w:t xml:space="preserve">  </w:t>
      </w:r>
    </w:p>
    <w:p w:rsidR="001E6100" w:rsidRDefault="001E6100"/>
    <w:sectPr w:rsidR="001E6100" w:rsidSect="00D75C7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92315" w:date="2011-12-12T13:01:00Z" w:initials="9">
    <w:p w:rsidR="003C473E" w:rsidRDefault="003C473E" w:rsidP="003C473E">
      <w:pPr>
        <w:pStyle w:val="a6"/>
      </w:pPr>
      <w:r>
        <w:rPr>
          <w:rStyle w:val="a5"/>
        </w:rPr>
        <w:annotationRef/>
      </w:r>
      <w:r>
        <w:t>к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A60"/>
    <w:multiLevelType w:val="hybridMultilevel"/>
    <w:tmpl w:val="533C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70512"/>
    <w:multiLevelType w:val="hybridMultilevel"/>
    <w:tmpl w:val="DC820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73E"/>
    <w:rsid w:val="001E6100"/>
    <w:rsid w:val="003C473E"/>
    <w:rsid w:val="00806EFE"/>
    <w:rsid w:val="0087177E"/>
    <w:rsid w:val="00B236EC"/>
    <w:rsid w:val="00D7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3C47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C47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3C473E"/>
    <w:pPr>
      <w:ind w:left="708"/>
    </w:pPr>
  </w:style>
  <w:style w:type="character" w:styleId="a5">
    <w:name w:val="annotation reference"/>
    <w:basedOn w:val="a0"/>
    <w:rsid w:val="003C473E"/>
    <w:rPr>
      <w:sz w:val="16"/>
      <w:szCs w:val="16"/>
    </w:rPr>
  </w:style>
  <w:style w:type="paragraph" w:styleId="a6">
    <w:name w:val="annotation text"/>
    <w:basedOn w:val="a"/>
    <w:link w:val="a7"/>
    <w:rsid w:val="003C473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C4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47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7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D7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92315</dc:creator>
  <cp:lastModifiedBy>92315</cp:lastModifiedBy>
  <cp:revision>4</cp:revision>
  <cp:lastPrinted>2011-12-15T08:24:00Z</cp:lastPrinted>
  <dcterms:created xsi:type="dcterms:W3CDTF">2011-12-12T08:29:00Z</dcterms:created>
  <dcterms:modified xsi:type="dcterms:W3CDTF">2011-12-15T09:39:00Z</dcterms:modified>
</cp:coreProperties>
</file>