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006FA4"/>
          <w:sz w:val="28"/>
          <w:szCs w:val="28"/>
          <w:lang w:eastAsia="ru-RU"/>
        </w:rPr>
        <w:t> ЧТО ТАКОЕ ИНФОРМАЦИОННЫЙ ПРОЦЕСС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 </w:t>
      </w:r>
    </w:p>
    <w:p w:rsidR="00652288" w:rsidRPr="006907CB" w:rsidRDefault="002D2340" w:rsidP="006907CB">
      <w:pPr>
        <w:spacing w:after="0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2D2340">
        <w:rPr>
          <w:rFonts w:ascii="Arial Narrow" w:eastAsia="Times New Roman" w:hAnsi="Arial Narrow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="00A1274F" w:rsidRPr="006907CB">
        <w:rPr>
          <w:rFonts w:ascii="Arial Narrow" w:hAnsi="Arial Narrow"/>
          <w:sz w:val="28"/>
          <w:szCs w:val="28"/>
        </w:rPr>
        <w:t>Процесс передачи информации от источника к получателю называется Информационным процессом.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 </w:t>
      </w:r>
    </w:p>
    <w:tbl>
      <w:tblPr>
        <w:tblW w:w="9045" w:type="dxa"/>
        <w:jc w:val="center"/>
        <w:tblCellSpacing w:w="0" w:type="dxa"/>
        <w:tblBorders>
          <w:top w:val="outset" w:sz="12" w:space="0" w:color="F36607"/>
          <w:left w:val="outset" w:sz="12" w:space="0" w:color="F36607"/>
          <w:bottom w:val="outset" w:sz="12" w:space="0" w:color="F36607"/>
          <w:right w:val="outset" w:sz="12" w:space="0" w:color="F3660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45"/>
      </w:tblGrid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6607"/>
              <w:left w:val="outset" w:sz="6" w:space="0" w:color="F36607"/>
              <w:bottom w:val="outset" w:sz="6" w:space="0" w:color="F36607"/>
              <w:right w:val="outset" w:sz="6" w:space="0" w:color="F36607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b/>
                <w:bCs/>
                <w:color w:val="0F0F0F"/>
                <w:sz w:val="28"/>
                <w:szCs w:val="28"/>
                <w:lang w:eastAsia="ru-RU"/>
              </w:rPr>
              <w:t>Информационным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 xml:space="preserve"> называют </w:t>
            </w:r>
            <w:r w:rsidRPr="006907CB">
              <w:rPr>
                <w:rFonts w:ascii="Arial Narrow" w:eastAsia="Times New Roman" w:hAnsi="Arial Narrow" w:cs="Times New Roman"/>
                <w:b/>
                <w:bCs/>
                <w:color w:val="0F0F0F"/>
                <w:sz w:val="28"/>
                <w:szCs w:val="28"/>
                <w:lang w:eastAsia="ru-RU"/>
              </w:rPr>
              <w:t>процесс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>, связанный с определёнными операциями (</w:t>
            </w:r>
            <w:r w:rsidRPr="006907CB">
              <w:rPr>
                <w:rFonts w:ascii="Arial Narrow" w:eastAsia="Times New Roman" w:hAnsi="Arial Narrow" w:cs="Times New Roman"/>
                <w:i/>
                <w:iCs/>
                <w:color w:val="0F0F0F"/>
                <w:sz w:val="28"/>
                <w:szCs w:val="28"/>
                <w:lang w:eastAsia="ru-RU"/>
              </w:rPr>
              <w:t>действиями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>) над информацией, в ходе которых может измениться содержание информации или её форма.</w:t>
            </w:r>
          </w:p>
        </w:tc>
      </w:tr>
    </w:tbl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Процессы, связанные с информацией, существуют и действуют повсюду: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в области человеческих взаимоотношений,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в природных взаимодействиях,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в технической среде.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Человек воспринимает информацию с помощью органов чувств, хранит и перерабатывает её с помощью мозга и центральной нервной системы. Процессы обработки информации — суть умственной деятельности человека. Человек думает, вычисляет, говорит, слушает, читает, пишет, рисует... При этом он всегда имеет дело с информацией.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Организация живой природы, сообществ и популяций основана на постоянном обмене информацией, переработке информации, получаемой из неживой природы.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tbl>
      <w:tblPr>
        <w:tblW w:w="790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0"/>
        <w:gridCol w:w="7335"/>
      </w:tblGrid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288" w:rsidRPr="006907CB" w:rsidRDefault="00652288" w:rsidP="006907CB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4" name="Рисунок 14" descr="http://itklass.sch1636.edusite.ru/images/loopnonekop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tklass.sch1636.edusite.ru/images/loopnonekop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i/>
                <w:iCs/>
                <w:color w:val="0F0F0F"/>
                <w:sz w:val="28"/>
                <w:szCs w:val="28"/>
                <w:lang w:eastAsia="ru-RU"/>
              </w:rPr>
              <w:t xml:space="preserve">Если одна из пчёл нашла богатое нектаром поле, то через некоторое время десятки членов пчелиной семьи устремляются в это место. Совершенно очевидно, что происходит передача информации, и это организует сообщество на конкретные согласованные действия. </w:t>
            </w:r>
          </w:p>
        </w:tc>
      </w:tr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288" w:rsidRPr="006907CB" w:rsidRDefault="00652288" w:rsidP="006907CB">
            <w:pPr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5" name="Рисунок 15" descr="http://itklass.sch1636.edusite.ru/images/loopnonekop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tklass.sch1636.edusite.ru/images/loopnonekop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i/>
                <w:iCs/>
                <w:color w:val="0F0F0F"/>
                <w:sz w:val="28"/>
                <w:szCs w:val="28"/>
                <w:lang w:eastAsia="ru-RU"/>
              </w:rPr>
              <w:t xml:space="preserve">Сезонные изменения в растительном мире — результат информационного процесса. Температура воздуха и почвы, длина светового дня — сигналы внешней среды, значимые для выживания растения. </w:t>
            </w:r>
          </w:p>
        </w:tc>
      </w:tr>
    </w:tbl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Технические устройства выполняют роль посредников в информационном общении </w:t>
      </w:r>
      <w:proofErr w:type="gramStart"/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людей</w:t>
      </w:r>
      <w:proofErr w:type="gramEnd"/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 как между собой, так и с окружающей средой. Без помощи технических устройств невозможно получить информацию, недоступную непосредственному восприятию человека или быстро переработать огромные массивы данных, передать информацию на дальние расстояния или сохранить её для будущих поколений. 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2D2340" w:rsidP="006907CB">
      <w:pPr>
        <w:spacing w:after="0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2340">
        <w:rPr>
          <w:rFonts w:ascii="Arial Narrow" w:eastAsia="Times New Roman" w:hAnsi="Arial Narrow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Arial"/>
          <w:b/>
          <w:bCs/>
          <w:color w:val="0080C0"/>
          <w:sz w:val="28"/>
          <w:szCs w:val="28"/>
          <w:lang w:eastAsia="ru-RU"/>
        </w:rPr>
        <w:t>Виды информационных процессов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Среди всех информационных процессов можно выделить наиболее общие.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К ним относятся: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-  получение,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-  передача,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-  хранение 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-  обработка информации.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Эти процессы являются базовыми.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Их выполнение порождает другие информационные процессы.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Так, например,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получение информации может быть связано с её поиском, хранение — с накоплением;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-  при передаче информации необходимо позаботиться о её защите от </w:t>
      </w:r>
      <w:proofErr w:type="spellStart"/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разрущающих</w:t>
      </w:r>
      <w:proofErr w:type="spellEnd"/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 воздействий.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lastRenderedPageBreak/>
        <w:t xml:space="preserve">Все процессы требуют той или иной формы представления информации, определяет которую процесс —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кодирование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. Он сопровождает все остальные процессы и является связующим звеном между ними.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tbl>
      <w:tblPr>
        <w:tblW w:w="8175" w:type="dxa"/>
        <w:jc w:val="center"/>
        <w:tblCellSpacing w:w="0" w:type="dxa"/>
        <w:tblBorders>
          <w:top w:val="outset" w:sz="12" w:space="0" w:color="F36607"/>
          <w:left w:val="outset" w:sz="12" w:space="0" w:color="F36607"/>
          <w:bottom w:val="outset" w:sz="12" w:space="0" w:color="F36607"/>
          <w:right w:val="outset" w:sz="12" w:space="0" w:color="F3660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75"/>
      </w:tblGrid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6607"/>
              <w:left w:val="outset" w:sz="6" w:space="0" w:color="F36607"/>
              <w:bottom w:val="outset" w:sz="6" w:space="0" w:color="F36607"/>
              <w:right w:val="outset" w:sz="6" w:space="0" w:color="F36607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b/>
                <w:bCs/>
                <w:color w:val="0F0F0F"/>
                <w:sz w:val="28"/>
                <w:szCs w:val="28"/>
                <w:lang w:eastAsia="ru-RU"/>
              </w:rPr>
              <w:t xml:space="preserve">Информационные процессы не изолированы, а протекают циклично в единстве и взаимосвязи друг с другом. </w:t>
            </w:r>
          </w:p>
        </w:tc>
      </w:tr>
    </w:tbl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Arial"/>
          <w:b/>
          <w:bCs/>
          <w:color w:val="0080C0"/>
          <w:sz w:val="28"/>
          <w:szCs w:val="28"/>
          <w:lang w:eastAsia="ru-RU"/>
        </w:rPr>
        <w:t xml:space="preserve">Передача информации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В процессе передачи информации всегда есть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источник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приемник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(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получатель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) информации.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Информация передаётся по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каналу связи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, направляясь от источника к получателю в виде последовательности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сигналов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, составляющих информационное сообщение.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noProof/>
          <w:color w:val="0F0F0F"/>
          <w:sz w:val="28"/>
          <w:szCs w:val="28"/>
          <w:lang w:eastAsia="ru-RU"/>
        </w:rPr>
        <w:t>Рисунок см. презентацию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Физический смысл сигнала может не совпадать со смыслом передаваемой информации.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Информация от источника преобразуется в вид и форму, доступную каналу связи, а затем декодируется в вид и форму, понятную приёмнику.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Для достижения взаимопонимания необходима предварительная договорённость о значениях сигналов. Поэтому и существуют алфавиты различных языков и наборы различных кодировок: правила движения, азбука Морзе, шрифт Брайля и т. д.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AA6E40" w:rsidRPr="006907CB" w:rsidRDefault="00AA6E40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В процессе передачи информация может теряться, искажаться из-за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помех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 и вредных воздействий. Причины таких воздействий могут быть как технического характера (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перегрузки, вибрации, электрические и магнитные поля, перепады температур, давления, влажности окружающей среды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), так и следствием человеческого вмешательства.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Arial"/>
          <w:b/>
          <w:bCs/>
          <w:color w:val="0080C0"/>
          <w:sz w:val="28"/>
          <w:szCs w:val="28"/>
          <w:lang w:eastAsia="ru-RU"/>
        </w:rPr>
        <w:t xml:space="preserve">Хранение информации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Информация не может существовать без своего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носителя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.</w:t>
      </w:r>
    </w:p>
    <w:tbl>
      <w:tblPr>
        <w:tblW w:w="7845" w:type="dxa"/>
        <w:jc w:val="center"/>
        <w:tblCellSpacing w:w="0" w:type="dxa"/>
        <w:tblBorders>
          <w:top w:val="outset" w:sz="12" w:space="0" w:color="F36607"/>
          <w:left w:val="outset" w:sz="12" w:space="0" w:color="F36607"/>
          <w:bottom w:val="outset" w:sz="12" w:space="0" w:color="F36607"/>
          <w:right w:val="outset" w:sz="12" w:space="0" w:color="F3660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45"/>
      </w:tblGrid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6607"/>
              <w:left w:val="outset" w:sz="6" w:space="0" w:color="F36607"/>
              <w:bottom w:val="outset" w:sz="6" w:space="0" w:color="F36607"/>
              <w:right w:val="outset" w:sz="6" w:space="0" w:color="F36607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 </w:t>
            </w:r>
            <w:r w:rsidRPr="006907CB">
              <w:rPr>
                <w:rFonts w:ascii="Arial Narrow" w:eastAsia="Times New Roman" w:hAnsi="Arial Narrow" w:cs="Times New Roman"/>
                <w:b/>
                <w:bCs/>
                <w:color w:val="0F0F0F"/>
                <w:sz w:val="28"/>
                <w:szCs w:val="28"/>
                <w:lang w:eastAsia="ru-RU"/>
              </w:rPr>
              <w:t xml:space="preserve">Носитель - это </w:t>
            </w:r>
            <w:r w:rsidR="005C494F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>среда, непосредственно храняща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>я информацию.</w:t>
            </w:r>
          </w:p>
        </w:tc>
      </w:tr>
    </w:tbl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Заметим, что слово «носитель» означает «нести в себе», то есть содержать, а не переносить информацию.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Что может быть носителем?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Любой предмет,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явление,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-  живое существо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- волны различной природы (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электромагнитные, в том числе световые, звуковые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)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-  разные состояния вещества.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Информация о предмете может быть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>в самом предмете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 или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во внешнем носителе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информации: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записной книжке,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магнитной записи,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картине,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фото- и кинодокументах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и т. д.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Для извлечения информации из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внешних носителей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необходимы дополнительные средства.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Например: </w:t>
      </w:r>
    </w:p>
    <w:p w:rsidR="00652288" w:rsidRPr="006907CB" w:rsidRDefault="00652288" w:rsidP="006907CB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для того</w:t>
      </w:r>
      <w:proofErr w:type="gramStart"/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>,</w:t>
      </w:r>
      <w:proofErr w:type="gramEnd"/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 чтобы получить информацию, содержащуюся на аудиокассете, необходим магнитофон.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Для хранения носителей организуются хранилища: для книг — это библиотеки, для картин и рисунков — художественные музеи, для документов — архивы, патентные бюро и т. д. 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lastRenderedPageBreak/>
        <w:t xml:space="preserve">Вычислительная техника даёт огромные возможности для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хранения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информации в компактной форме: электронные, магнитные, оптические носители. Здесь учитывается информационная ёмкость, время доступа к информации, надёжность хранения, время безотказной работы.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Человеческое общество способно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накапливать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информацию и </w:t>
      </w:r>
      <w:r w:rsidRPr="006907CB">
        <w:rPr>
          <w:rFonts w:ascii="Arial Narrow" w:eastAsia="Times New Roman" w:hAnsi="Arial Narrow" w:cs="Times New Roman"/>
          <w:b/>
          <w:bCs/>
          <w:color w:val="0F0F0F"/>
          <w:sz w:val="28"/>
          <w:szCs w:val="28"/>
          <w:lang w:eastAsia="ru-RU"/>
        </w:rPr>
        <w:t xml:space="preserve">передавать 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её от поколения к поколению. На протяжении всей историй накапливаются знания и жизненный опыт отдельных людей, а также «коллективная память» — традиции, обычаи народов. </w:t>
      </w:r>
    </w:p>
    <w:p w:rsidR="00652288" w:rsidRPr="006907CB" w:rsidRDefault="002D2340" w:rsidP="006907CB">
      <w:pPr>
        <w:spacing w:after="0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2D2340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652288" w:rsidRPr="006907CB" w:rsidRDefault="00652288" w:rsidP="00AA6E40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 xml:space="preserve"> </w:t>
      </w:r>
      <w:r w:rsidRPr="006907CB">
        <w:rPr>
          <w:rFonts w:ascii="Arial Narrow" w:eastAsia="Times New Roman" w:hAnsi="Arial Narrow" w:cs="Arial"/>
          <w:b/>
          <w:bCs/>
          <w:color w:val="0080C0"/>
          <w:sz w:val="28"/>
          <w:szCs w:val="28"/>
          <w:lang w:eastAsia="ru-RU"/>
        </w:rPr>
        <w:t xml:space="preserve">Обработка информации </w:t>
      </w:r>
    </w:p>
    <w:tbl>
      <w:tblPr>
        <w:tblW w:w="7845" w:type="dxa"/>
        <w:jc w:val="center"/>
        <w:tblCellSpacing w:w="0" w:type="dxa"/>
        <w:tblBorders>
          <w:top w:val="outset" w:sz="12" w:space="0" w:color="F36607"/>
          <w:left w:val="outset" w:sz="12" w:space="0" w:color="F36607"/>
          <w:bottom w:val="outset" w:sz="12" w:space="0" w:color="F36607"/>
          <w:right w:val="outset" w:sz="12" w:space="0" w:color="F3660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45"/>
      </w:tblGrid>
      <w:tr w:rsidR="00652288" w:rsidRPr="006907CB" w:rsidTr="006522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36607"/>
              <w:left w:val="outset" w:sz="6" w:space="0" w:color="F36607"/>
              <w:bottom w:val="outset" w:sz="6" w:space="0" w:color="F36607"/>
              <w:right w:val="outset" w:sz="6" w:space="0" w:color="F36607"/>
            </w:tcBorders>
            <w:vAlign w:val="center"/>
            <w:hideMark/>
          </w:tcPr>
          <w:p w:rsidR="00652288" w:rsidRPr="006907CB" w:rsidRDefault="00652288" w:rsidP="006907CB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 xml:space="preserve">  </w:t>
            </w:r>
            <w:r w:rsidRPr="006907C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F0F0F"/>
                <w:sz w:val="28"/>
                <w:szCs w:val="28"/>
                <w:lang w:eastAsia="ru-RU"/>
              </w:rPr>
              <w:t>Обработка</w:t>
            </w:r>
            <w:r w:rsidRPr="006907CB">
              <w:rPr>
                <w:rFonts w:ascii="Arial Narrow" w:eastAsia="Times New Roman" w:hAnsi="Arial Narrow" w:cs="Times New Roman"/>
                <w:b/>
                <w:bCs/>
                <w:color w:val="0F0F0F"/>
                <w:sz w:val="28"/>
                <w:szCs w:val="28"/>
                <w:lang w:eastAsia="ru-RU"/>
              </w:rPr>
              <w:t> 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 xml:space="preserve">— это преобразование информации с изменением её </w:t>
            </w:r>
            <w:r w:rsidRPr="006907CB">
              <w:rPr>
                <w:rFonts w:ascii="Arial Narrow" w:eastAsia="Times New Roman" w:hAnsi="Arial Narrow" w:cs="Times New Roman"/>
                <w:i/>
                <w:iCs/>
                <w:color w:val="0F0F0F"/>
                <w:sz w:val="28"/>
                <w:szCs w:val="28"/>
                <w:lang w:eastAsia="ru-RU"/>
              </w:rPr>
              <w:t>содержания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 xml:space="preserve"> или </w:t>
            </w:r>
            <w:r w:rsidRPr="006907CB">
              <w:rPr>
                <w:rFonts w:ascii="Arial Narrow" w:eastAsia="Times New Roman" w:hAnsi="Arial Narrow" w:cs="Times New Roman"/>
                <w:i/>
                <w:iCs/>
                <w:color w:val="0F0F0F"/>
                <w:sz w:val="28"/>
                <w:szCs w:val="28"/>
                <w:lang w:eastAsia="ru-RU"/>
              </w:rPr>
              <w:t>формы представления</w:t>
            </w:r>
            <w:r w:rsidRPr="006907CB">
              <w:rPr>
                <w:rFonts w:ascii="Arial Narrow" w:eastAsia="Times New Roman" w:hAnsi="Arial Narrow" w:cs="Times New Roman"/>
                <w:color w:val="0F0F0F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652288" w:rsidRPr="006907CB" w:rsidRDefault="00652288" w:rsidP="00AA6E40">
      <w:pPr>
        <w:spacing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Редактирование текста, математические вычисления, логические умозаключения — примеры процедур изменения содержания информации.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Упорядочивание информации, шифрование или перевод текстов на другой язык — изменение формы.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 </w:t>
      </w:r>
      <w:r w:rsidRPr="006907CB">
        <w:rPr>
          <w:rFonts w:ascii="Arial Narrow" w:eastAsia="Times New Roman" w:hAnsi="Arial Narrow" w:cs="Times New Roman"/>
          <w:i/>
          <w:iCs/>
          <w:color w:val="0F0F0F"/>
          <w:sz w:val="28"/>
          <w:szCs w:val="28"/>
          <w:lang w:eastAsia="ru-RU"/>
        </w:rPr>
        <w:t xml:space="preserve">Кодирование — тоже один из вариантов обработки. </w: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t>Обработка информации может производиться формально, по правилам или заданному алгоритму. </w:t>
      </w:r>
    </w:p>
    <w:p w:rsidR="00652288" w:rsidRPr="006907CB" w:rsidRDefault="002D2340" w:rsidP="006907CB">
      <w:pPr>
        <w:spacing w:after="0" w:line="240" w:lineRule="auto"/>
        <w:contextualSpacing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2D2340"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652288" w:rsidRPr="006907CB" w:rsidRDefault="00652288" w:rsidP="006907CB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color w:val="0F0F0F"/>
          <w:sz w:val="28"/>
          <w:szCs w:val="28"/>
          <w:lang w:eastAsia="ru-RU"/>
        </w:rPr>
      </w:pPr>
      <w:r w:rsidRPr="006907CB">
        <w:rPr>
          <w:rFonts w:ascii="Arial Narrow" w:eastAsia="Times New Roman" w:hAnsi="Arial Narrow" w:cs="Times New Roman"/>
          <w:b/>
          <w:bCs/>
          <w:color w:val="F3584B"/>
          <w:sz w:val="28"/>
          <w:szCs w:val="28"/>
          <w:lang w:eastAsia="ru-RU"/>
        </w:rPr>
        <w:t>Компьютер является универсальным устройством для автоматизированного выполнения информационных процессов.</w:t>
      </w:r>
    </w:p>
    <w:p w:rsidR="00FB729E" w:rsidRPr="00FB729E" w:rsidRDefault="00FB729E" w:rsidP="00FB729E">
      <w:pPr>
        <w:jc w:val="both"/>
        <w:rPr>
          <w:rFonts w:ascii="Arial Narrow" w:hAnsi="Arial Narrow"/>
          <w:sz w:val="28"/>
          <w:szCs w:val="28"/>
        </w:rPr>
      </w:pPr>
      <w:r w:rsidRPr="00FB729E">
        <w:rPr>
          <w:rFonts w:ascii="Arial Narrow" w:hAnsi="Arial Narrow"/>
          <w:sz w:val="28"/>
          <w:szCs w:val="28"/>
        </w:rPr>
        <w:t>Системой счисления называют способ записи чисел с помощью заданного набора специальных знаков или цифр. В двоичной системе счисления всего два таких знака, это 0 и 1. Двоичная система счисления используется в вычислительных машинах. Выбор двоичной системы объясняется тем, что электронные элементы, из которых строились и строятся ЭВМ, могут находиться только в двух хорошо различимых устойчивых рабочих состояниях. Словом, эти элементы представляются нам в роли выключателей. А как мы все знаем, выключатель может быть включен или выключен. Третьего не дано. Одно из состояний выключателя обозначается 0, а другое — 1. Итак, перейдём непосредственно к теме нашей статьи. Как же переводить числа из одной системы счисления в другую? Развёрнутая запись двоичного числа может выглядеть так: A = 1 • 2^2 + 0 • 2^1 + 1 • 2^0 + 0 • 2^(–1) + 1 • 2^(–2)</w:t>
      </w:r>
      <w:proofErr w:type="gramStart"/>
      <w:r w:rsidRPr="00FB729E">
        <w:rPr>
          <w:rFonts w:ascii="Arial Narrow" w:hAnsi="Arial Narrow"/>
          <w:sz w:val="28"/>
          <w:szCs w:val="28"/>
        </w:rPr>
        <w:t>.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(^ — </w:t>
      </w:r>
      <w:proofErr w:type="gramStart"/>
      <w:r w:rsidRPr="00FB729E">
        <w:rPr>
          <w:rFonts w:ascii="Arial Narrow" w:hAnsi="Arial Narrow"/>
          <w:sz w:val="28"/>
          <w:szCs w:val="28"/>
        </w:rPr>
        <w:t>з</w:t>
      </w:r>
      <w:proofErr w:type="gramEnd"/>
      <w:r w:rsidRPr="00FB729E">
        <w:rPr>
          <w:rFonts w:ascii="Arial Narrow" w:hAnsi="Arial Narrow"/>
          <w:sz w:val="28"/>
          <w:szCs w:val="28"/>
        </w:rPr>
        <w:t>нак степени). А свёрнутая форма этого же числа выглядит уже так: А = 101,01. В общем случае в двоичной системе запись числа</w:t>
      </w:r>
      <w:proofErr w:type="gramStart"/>
      <w:r w:rsidRPr="00FB729E">
        <w:rPr>
          <w:rFonts w:ascii="Arial Narrow" w:hAnsi="Arial Narrow"/>
          <w:sz w:val="28"/>
          <w:szCs w:val="28"/>
        </w:rPr>
        <w:t xml:space="preserve"> А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, которое содержит 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 целых разрядов и </w:t>
      </w:r>
      <w:proofErr w:type="spellStart"/>
      <w:r w:rsidRPr="00FB729E">
        <w:rPr>
          <w:rFonts w:ascii="Arial Narrow" w:hAnsi="Arial Narrow"/>
          <w:sz w:val="28"/>
          <w:szCs w:val="28"/>
        </w:rPr>
        <w:t>m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 дробных разрядов числа, выглядит так: А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–1)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–1)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–2)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–2) +…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(0) • 2^0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(–1) • 2^(–1)+…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</w:t>
      </w:r>
      <w:proofErr w:type="spellStart"/>
      <w:r w:rsidRPr="00FB729E">
        <w:rPr>
          <w:rFonts w:ascii="Arial Narrow" w:hAnsi="Arial Narrow"/>
          <w:sz w:val="28"/>
          <w:szCs w:val="28"/>
        </w:rPr>
        <w:t>m</w:t>
      </w:r>
      <w:proofErr w:type="spellEnd"/>
      <w:r w:rsidRPr="00FB729E">
        <w:rPr>
          <w:rFonts w:ascii="Arial Narrow" w:hAnsi="Arial Narrow"/>
          <w:sz w:val="28"/>
          <w:szCs w:val="28"/>
        </w:rPr>
        <w:t>) • 2^(–</w:t>
      </w:r>
      <w:proofErr w:type="spellStart"/>
      <w:r w:rsidRPr="00FB729E">
        <w:rPr>
          <w:rFonts w:ascii="Arial Narrow" w:hAnsi="Arial Narrow"/>
          <w:sz w:val="28"/>
          <w:szCs w:val="28"/>
        </w:rPr>
        <w:t>m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). Коэффициент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i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) в этой записи являются цифрами (0 или 1) двоичного числа, которое в свёрнутой форме записывается так: A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–1)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–2)…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(0),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(–1)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(–2)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</w:t>
      </w:r>
      <w:proofErr w:type="spellStart"/>
      <w:r w:rsidRPr="00FB729E">
        <w:rPr>
          <w:rFonts w:ascii="Arial Narrow" w:hAnsi="Arial Narrow"/>
          <w:sz w:val="28"/>
          <w:szCs w:val="28"/>
        </w:rPr>
        <w:t>m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). Теперь я предоставляю вашему вниманию алгоритм перевода целых десятичных чисел в двоичную систему счисления. Пусть </w:t>
      </w:r>
      <w:proofErr w:type="gramStart"/>
      <w:r w:rsidRPr="00FB729E">
        <w:rPr>
          <w:rFonts w:ascii="Arial Narrow" w:hAnsi="Arial Narrow"/>
          <w:sz w:val="28"/>
          <w:szCs w:val="28"/>
        </w:rPr>
        <w:t>А(</w:t>
      </w:r>
      <w:proofErr w:type="spellStart"/>
      <w:proofErr w:type="gramEnd"/>
      <w:r w:rsidRPr="00FB729E">
        <w:rPr>
          <w:rFonts w:ascii="Arial Narrow" w:hAnsi="Arial Narrow"/>
          <w:sz w:val="28"/>
          <w:szCs w:val="28"/>
        </w:rPr>
        <w:t>цд</w:t>
      </w:r>
      <w:proofErr w:type="spellEnd"/>
      <w:r w:rsidRPr="00FB729E">
        <w:rPr>
          <w:rFonts w:ascii="Arial Narrow" w:hAnsi="Arial Narrow"/>
          <w:sz w:val="28"/>
          <w:szCs w:val="28"/>
        </w:rPr>
        <w:t>) – целое десятичное число. Запишем его в виде суммы степеней основания 2 с двоичными коэффициентами. В его записи в развёрнутой форме будут отсутствовать отрицательные степени основания (числа 2): A(</w:t>
      </w:r>
      <w:proofErr w:type="spellStart"/>
      <w:r w:rsidRPr="00FB729E">
        <w:rPr>
          <w:rFonts w:ascii="Arial Narrow" w:hAnsi="Arial Narrow"/>
          <w:sz w:val="28"/>
          <w:szCs w:val="28"/>
        </w:rPr>
        <w:t>цд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)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–1)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–1)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–2)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–2) + …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(1) • 2^1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(0) • 2^0. На первом шаге разделим число А(</w:t>
      </w:r>
      <w:proofErr w:type="spellStart"/>
      <w:r w:rsidRPr="00FB729E">
        <w:rPr>
          <w:rFonts w:ascii="Arial Narrow" w:hAnsi="Arial Narrow"/>
          <w:sz w:val="28"/>
          <w:szCs w:val="28"/>
        </w:rPr>
        <w:t>цд</w:t>
      </w:r>
      <w:proofErr w:type="spellEnd"/>
      <w:r w:rsidRPr="00FB729E">
        <w:rPr>
          <w:rFonts w:ascii="Arial Narrow" w:hAnsi="Arial Narrow"/>
          <w:sz w:val="28"/>
          <w:szCs w:val="28"/>
        </w:rPr>
        <w:t>) на основани</w:t>
      </w:r>
      <w:proofErr w:type="gramStart"/>
      <w:r w:rsidRPr="00FB729E">
        <w:rPr>
          <w:rFonts w:ascii="Arial Narrow" w:hAnsi="Arial Narrow"/>
          <w:sz w:val="28"/>
          <w:szCs w:val="28"/>
        </w:rPr>
        <w:t>е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двоичной системы, то есть на 2. Частное от деления будет равно: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–1)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–2)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–2) • 2^(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–3) + …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(1), а остаток равен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(0). На втором шаге целое частное опять разделим на 2, остаток от деления будет теперь равен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(1). Если продолжать этот процесс деления, то после n-</w:t>
      </w:r>
      <w:r w:rsidRPr="00FB729E">
        <w:rPr>
          <w:rFonts w:ascii="Arial Narrow" w:hAnsi="Arial Narrow"/>
          <w:sz w:val="28"/>
          <w:szCs w:val="28"/>
        </w:rPr>
        <w:lastRenderedPageBreak/>
        <w:t xml:space="preserve">го шага получим последовательность остатков: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(0),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(1),…,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–1). Легко заметить, что их последовательность совпадает с обратной последовательностью цифр целого двоичного числа, записанного в свёрнутой форме: A(2)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</w:t>
      </w:r>
      <w:proofErr w:type="spellStart"/>
      <w:r w:rsidRPr="00FB729E">
        <w:rPr>
          <w:rFonts w:ascii="Arial Narrow" w:hAnsi="Arial Narrow"/>
          <w:sz w:val="28"/>
          <w:szCs w:val="28"/>
        </w:rPr>
        <w:t>n</w:t>
      </w:r>
      <w:proofErr w:type="spellEnd"/>
      <w:r w:rsidRPr="00FB729E">
        <w:rPr>
          <w:rFonts w:ascii="Arial Narrow" w:hAnsi="Arial Narrow"/>
          <w:sz w:val="28"/>
          <w:szCs w:val="28"/>
        </w:rPr>
        <w:t>–1)…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(1)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(0). Таким образом, достаточно записать остатки в обратной последовательности, чтобы получить искомое двоичное число. Тогда сам алгоритм будет следующим: 1. Последовательно выполнять деление исходного целого десятичного числа и получаемых целых частных на основани</w:t>
      </w:r>
      <w:proofErr w:type="gramStart"/>
      <w:r w:rsidRPr="00FB729E">
        <w:rPr>
          <w:rFonts w:ascii="Arial Narrow" w:hAnsi="Arial Narrow"/>
          <w:sz w:val="28"/>
          <w:szCs w:val="28"/>
        </w:rPr>
        <w:t>е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системы (на 2) до тех пор, пока не получится частное, меньшее делителя, то есть меньше 2. 2. Записать полученные остатки в обратной последовательности, а слева добавить последнее частное. А теперь рассмотрим алгоритм перевода правильных десятичных дробей в двоичную систему счисления. Пусть </w:t>
      </w:r>
      <w:proofErr w:type="gramStart"/>
      <w:r w:rsidRPr="00FB729E">
        <w:rPr>
          <w:rFonts w:ascii="Arial Narrow" w:hAnsi="Arial Narrow"/>
          <w:sz w:val="28"/>
          <w:szCs w:val="28"/>
        </w:rPr>
        <w:t>А(</w:t>
      </w:r>
      <w:proofErr w:type="spellStart"/>
      <w:proofErr w:type="gramEnd"/>
      <w:r w:rsidRPr="00FB729E">
        <w:rPr>
          <w:rFonts w:ascii="Arial Narrow" w:hAnsi="Arial Narrow"/>
          <w:sz w:val="28"/>
          <w:szCs w:val="28"/>
        </w:rPr>
        <w:t>дд</w:t>
      </w:r>
      <w:proofErr w:type="spellEnd"/>
      <w:r w:rsidRPr="00FB729E">
        <w:rPr>
          <w:rFonts w:ascii="Arial Narrow" w:hAnsi="Arial Narrow"/>
          <w:sz w:val="28"/>
          <w:szCs w:val="28"/>
        </w:rPr>
        <w:t>) — правильная десятичная дробь. В её записи в развёрнутой форме будут отсутствовать положительные степени основания (числа 2): A(</w:t>
      </w:r>
      <w:proofErr w:type="spellStart"/>
      <w:r w:rsidRPr="00FB729E">
        <w:rPr>
          <w:rFonts w:ascii="Arial Narrow" w:hAnsi="Arial Narrow"/>
          <w:sz w:val="28"/>
          <w:szCs w:val="28"/>
        </w:rPr>
        <w:t>дд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)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(–1) • 2^(–1)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(–2) • 2(–2) + … На первом шаге умножим число A(</w:t>
      </w:r>
      <w:proofErr w:type="spellStart"/>
      <w:r w:rsidRPr="00FB729E">
        <w:rPr>
          <w:rFonts w:ascii="Arial Narrow" w:hAnsi="Arial Narrow"/>
          <w:sz w:val="28"/>
          <w:szCs w:val="28"/>
        </w:rPr>
        <w:t>дд</w:t>
      </w:r>
      <w:proofErr w:type="spellEnd"/>
      <w:r w:rsidRPr="00FB729E">
        <w:rPr>
          <w:rFonts w:ascii="Arial Narrow" w:hAnsi="Arial Narrow"/>
          <w:sz w:val="28"/>
          <w:szCs w:val="28"/>
        </w:rPr>
        <w:t>) на основани</w:t>
      </w:r>
      <w:proofErr w:type="gramStart"/>
      <w:r w:rsidRPr="00FB729E">
        <w:rPr>
          <w:rFonts w:ascii="Arial Narrow" w:hAnsi="Arial Narrow"/>
          <w:sz w:val="28"/>
          <w:szCs w:val="28"/>
        </w:rPr>
        <w:t>е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двоичной системы, то есть на 2. Произведение будет равно: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(–1) +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(–2) • 2^(–1) + … Целая часть будет равна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(–1). На втором шаге оставшуюся дробную часть опять умножим на 2, получим целую часть, равную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 xml:space="preserve">(–2). Описанный процесс необходимо продолжать до тех пор, пока в результате умножения мы не получим нулевую дробную часть или не будет достигнута требуемая точность вычислений. И тут легко заметить, что последовательность полученных чисел совпадает с последовательностью цифр дробного двоичного числа, записанного в свёрнутой форме: A(2) = 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(–1)</w:t>
      </w:r>
      <w:proofErr w:type="spellStart"/>
      <w:r w:rsidRPr="00FB729E">
        <w:rPr>
          <w:rFonts w:ascii="Arial Narrow" w:hAnsi="Arial Narrow"/>
          <w:sz w:val="28"/>
          <w:szCs w:val="28"/>
        </w:rPr>
        <w:t>a</w:t>
      </w:r>
      <w:proofErr w:type="spellEnd"/>
      <w:r w:rsidRPr="00FB729E">
        <w:rPr>
          <w:rFonts w:ascii="Arial Narrow" w:hAnsi="Arial Narrow"/>
          <w:sz w:val="28"/>
          <w:szCs w:val="28"/>
        </w:rPr>
        <w:t>(–2)… А теперь алгоритм: 1. Последовательно выполнять умножение исходной десятичной дроби и получаемых дробных частей произведений на основани</w:t>
      </w:r>
      <w:proofErr w:type="gramStart"/>
      <w:r w:rsidRPr="00FB729E">
        <w:rPr>
          <w:rFonts w:ascii="Arial Narrow" w:hAnsi="Arial Narrow"/>
          <w:sz w:val="28"/>
          <w:szCs w:val="28"/>
        </w:rPr>
        <w:t>е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системы (на 2) до тех пор, пока не получится нулевая дробная часть или не будет достигнута требуемая точность вычислений. 2. Записать полученные целые части произведения в прямой последовательности. И напоследок хотелось бы рассказать о переводе чисел из </w:t>
      </w:r>
      <w:proofErr w:type="gramStart"/>
      <w:r w:rsidRPr="00FB729E">
        <w:rPr>
          <w:rFonts w:ascii="Arial Narrow" w:hAnsi="Arial Narrow"/>
          <w:sz w:val="28"/>
          <w:szCs w:val="28"/>
        </w:rPr>
        <w:t>восьмеричной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и шестнадцатеричной систем счисления в двоичную. Для перевода чисел из восьмеричной и шестнадцатеричной систем счисления в </w:t>
      </w:r>
      <w:proofErr w:type="gramStart"/>
      <w:r w:rsidRPr="00FB729E">
        <w:rPr>
          <w:rFonts w:ascii="Arial Narrow" w:hAnsi="Arial Narrow"/>
          <w:sz w:val="28"/>
          <w:szCs w:val="28"/>
        </w:rPr>
        <w:t>двоичную</w:t>
      </w:r>
      <w:proofErr w:type="gramEnd"/>
      <w:r w:rsidRPr="00FB729E">
        <w:rPr>
          <w:rFonts w:ascii="Arial Narrow" w:hAnsi="Arial Narrow"/>
          <w:sz w:val="28"/>
          <w:szCs w:val="28"/>
        </w:rPr>
        <w:t xml:space="preserve"> необходимо цифры числа преобразовать в группы двоичных цифр. Для перевода из восьмеричной системы в двоичную каждую цифру числа надо преобразовать в группу из трёх двоичных цифр — триаду, а при преобразовании шестнадцатеричного числа — в группу из четырёх цифр — тетрад</w:t>
      </w:r>
      <w:r>
        <w:rPr>
          <w:rFonts w:ascii="Arial Narrow" w:hAnsi="Arial Narrow"/>
          <w:sz w:val="28"/>
          <w:szCs w:val="28"/>
        </w:rPr>
        <w:t>ку.</w:t>
      </w:r>
    </w:p>
    <w:p w:rsidR="003D108D" w:rsidRPr="00FB729E" w:rsidRDefault="003D108D" w:rsidP="00FB729E">
      <w:pPr>
        <w:spacing w:line="240" w:lineRule="auto"/>
        <w:contextualSpacing/>
        <w:jc w:val="both"/>
        <w:rPr>
          <w:rFonts w:ascii="Arial Narrow" w:hAnsi="Arial Narrow"/>
          <w:sz w:val="28"/>
          <w:szCs w:val="28"/>
        </w:rPr>
      </w:pPr>
    </w:p>
    <w:sectPr w:rsidR="003D108D" w:rsidRPr="00FB729E" w:rsidSect="0069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288"/>
    <w:rsid w:val="002C69BB"/>
    <w:rsid w:val="002D2340"/>
    <w:rsid w:val="002F09F8"/>
    <w:rsid w:val="003D108D"/>
    <w:rsid w:val="00520376"/>
    <w:rsid w:val="005C494F"/>
    <w:rsid w:val="00652288"/>
    <w:rsid w:val="006907CB"/>
    <w:rsid w:val="00A1274F"/>
    <w:rsid w:val="00A651FD"/>
    <w:rsid w:val="00AA6E40"/>
    <w:rsid w:val="00B47919"/>
    <w:rsid w:val="00DF734E"/>
    <w:rsid w:val="00F849DB"/>
    <w:rsid w:val="00F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22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2288"/>
    <w:rPr>
      <w:b/>
      <w:bCs/>
    </w:rPr>
  </w:style>
  <w:style w:type="paragraph" w:styleId="a6">
    <w:name w:val="Normal (Web)"/>
    <w:basedOn w:val="a"/>
    <w:uiPriority w:val="99"/>
    <w:unhideWhenUsed/>
    <w:rsid w:val="0065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288"/>
    <w:rPr>
      <w:i/>
      <w:iCs/>
    </w:rPr>
  </w:style>
  <w:style w:type="character" w:styleId="a8">
    <w:name w:val="Hyperlink"/>
    <w:basedOn w:val="a0"/>
    <w:uiPriority w:val="99"/>
    <w:semiHidden/>
    <w:unhideWhenUsed/>
    <w:rsid w:val="006522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74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710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06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77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27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843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4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1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3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1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1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2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01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89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0331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4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57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6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Вульф</dc:creator>
  <cp:keywords/>
  <dc:description/>
  <cp:lastModifiedBy>Вульф</cp:lastModifiedBy>
  <cp:revision>8</cp:revision>
  <dcterms:created xsi:type="dcterms:W3CDTF">2012-09-05T15:47:00Z</dcterms:created>
  <dcterms:modified xsi:type="dcterms:W3CDTF">2012-09-07T19:51:00Z</dcterms:modified>
</cp:coreProperties>
</file>