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AD" w:rsidRDefault="00F04142">
      <w:pPr>
        <w:pStyle w:val="a0"/>
        <w:jc w:val="center"/>
      </w:pPr>
      <w:r>
        <w:rPr>
          <w:color w:val="00000A"/>
          <w:u w:val="none"/>
        </w:rPr>
        <w:t>БИЛЕТ №2</w:t>
      </w:r>
    </w:p>
    <w:p w:rsidR="00A85CAD" w:rsidRDefault="00A85CAD">
      <w:pPr>
        <w:pStyle w:val="a0"/>
        <w:jc w:val="center"/>
      </w:pPr>
    </w:p>
    <w:p w:rsidR="00A85CAD" w:rsidRDefault="00F04142">
      <w:pPr>
        <w:pStyle w:val="a0"/>
      </w:pPr>
      <w:r>
        <w:rPr>
          <w:color w:val="00000A"/>
          <w:u w:val="none"/>
        </w:rPr>
        <w:t xml:space="preserve">ТРЕУГОЛЬНИК-это геометрическая фигура, образованная тремя отрезками, которые соединяют три не лежащие на одной прямой точки.    </w:t>
      </w:r>
    </w:p>
    <w:p w:rsidR="00A85CAD" w:rsidRDefault="00A85CAD">
      <w:pPr>
        <w:pStyle w:val="a0"/>
      </w:pPr>
    </w:p>
    <w:tbl>
      <w:tblPr>
        <w:tblW w:w="0" w:type="auto"/>
        <w:tblInd w:w="-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left w:w="10" w:type="dxa"/>
          <w:right w:w="10" w:type="dxa"/>
        </w:tblCellMar>
        <w:tblLook w:val="0000"/>
      </w:tblPr>
      <w:tblGrid>
        <w:gridCol w:w="1995"/>
        <w:gridCol w:w="2150"/>
        <w:gridCol w:w="1996"/>
      </w:tblGrid>
      <w:tr w:rsidR="00F04142" w:rsidTr="009249FC">
        <w:trPr>
          <w:trHeight w:val="394"/>
        </w:trPr>
        <w:tc>
          <w:tcPr>
            <w:tcW w:w="2047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EEE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576811" w:rsidP="009249FC">
            <w:pPr>
              <w:pStyle w:val="a0"/>
            </w:pPr>
            <w:r w:rsidRPr="00576811">
              <w:rPr>
                <w:color w:val="00000A"/>
                <w:u w:val="none"/>
              </w:rPr>
              <w:pict>
                <v:shapetype id="shapetype_75" o:spid="_x0000_m1030" coordsize="21600,21600" o:spt="100" adj="2700,,0" path="m,l21600,r,21600l,21600xm@0@0l@0@2@1@2@1@0xe">
                  <v:stroke joinstyle="miter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center"/>
                  </v:handles>
                </v:shapetype>
              </w:pict>
            </w:r>
            <w:r w:rsidR="00F04142">
              <w:rPr>
                <w:color w:val="00000A"/>
                <w:u w:val="none"/>
              </w:rPr>
              <w:t>Виды треугольников</w:t>
            </w:r>
          </w:p>
        </w:tc>
      </w:tr>
      <w:tr w:rsidR="00F04142" w:rsidTr="009249FC">
        <w:trPr>
          <w:trHeight w:val="2756"/>
        </w:trPr>
        <w:tc>
          <w:tcPr>
            <w:tcW w:w="19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576811" w:rsidP="009249FC">
            <w:pPr>
              <w:pStyle w:val="a0"/>
            </w:pPr>
            <w:r w:rsidRPr="00576811">
              <w:rPr>
                <w:color w:val="00000A"/>
                <w:u w:val="none"/>
              </w:rPr>
              <w:pict>
                <v:shape id="shape_0" o:spid="_x0000_s1029" type="#shapetype_75" style="position:absolute;margin-left:29.25pt;margin-top:-32.1pt;width:11.2pt;height:8.2pt;z-index:251658240;mso-position-horizontal-relative:text;mso-position-vertical-relative:text" o:spt="100" adj="2700,,0" path="m,l21600,r,21600l,21600xm@0@0l@0@2@1@2@1@0xe" strokecolor="gray">
                  <v:stroke joinstyle="round"/>
                  <v:formulas>
                    <v:f eqn="val #0"/>
                    <v:f eqn="sum width 0 @0"/>
                    <v:f eqn="sum height 0 @0"/>
                  </v:formulas>
                  <v:path gradientshapeok="t" o:connecttype="rect" textboxrect="@0,@0,@1,@2"/>
                  <v:handles>
                    <v:h position="@0,center"/>
                  </v:handles>
                </v:shape>
              </w:pict>
            </w:r>
            <w:r w:rsidR="00F04142">
              <w:rPr>
                <w:noProof/>
              </w:rPr>
              <w:drawing>
                <wp:inline distT="0" distB="0" distL="0" distR="0">
                  <wp:extent cx="1146810" cy="711200"/>
                  <wp:effectExtent l="0" t="0" r="0" b="0"/>
                  <wp:docPr id="1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142">
              <w:rPr>
                <w:color w:val="00000A"/>
                <w:u w:val="none"/>
              </w:rPr>
              <w:br/>
              <w:t>Остроугольный</w:t>
            </w:r>
          </w:p>
        </w:tc>
        <w:tc>
          <w:tcPr>
            <w:tcW w:w="2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F04142" w:rsidP="009249FC">
            <w:pPr>
              <w:pStyle w:val="a0"/>
            </w:pPr>
            <w:r>
              <w:rPr>
                <w:noProof/>
              </w:rPr>
              <w:drawing>
                <wp:inline distT="0" distB="0" distL="0" distR="0">
                  <wp:extent cx="1146810" cy="1146810"/>
                  <wp:effectExtent l="0" t="0" r="0" b="0"/>
                  <wp:docPr id="13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4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Тупоугольный</w:t>
            </w:r>
          </w:p>
        </w:tc>
        <w:tc>
          <w:tcPr>
            <w:tcW w:w="19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F04142" w:rsidP="009249FC">
            <w:pPr>
              <w:pStyle w:val="a0"/>
            </w:pPr>
            <w:r>
              <w:rPr>
                <w:noProof/>
              </w:rPr>
              <w:drawing>
                <wp:inline distT="0" distB="0" distL="0" distR="0">
                  <wp:extent cx="1146810" cy="1088390"/>
                  <wp:effectExtent l="0" t="0" r="0" b="0"/>
                  <wp:docPr id="14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Прямоугольный</w:t>
            </w:r>
          </w:p>
        </w:tc>
      </w:tr>
      <w:tr w:rsidR="00F04142" w:rsidTr="009249FC">
        <w:trPr>
          <w:trHeight w:val="4059"/>
        </w:trPr>
        <w:tc>
          <w:tcPr>
            <w:tcW w:w="19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F04142" w:rsidP="009249FC">
            <w:pPr>
              <w:pStyle w:val="a0"/>
            </w:pPr>
            <w:r>
              <w:rPr>
                <w:noProof/>
              </w:rPr>
              <w:drawing>
                <wp:inline distT="0" distB="0" distL="0" distR="0">
                  <wp:extent cx="1132205" cy="1132205"/>
                  <wp:effectExtent l="0" t="0" r="0" b="0"/>
                  <wp:docPr id="1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Разносторонний</w:t>
            </w:r>
          </w:p>
        </w:tc>
        <w:tc>
          <w:tcPr>
            <w:tcW w:w="21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F04142" w:rsidP="009249FC">
            <w:pPr>
              <w:pStyle w:val="a0"/>
            </w:pPr>
            <w:r>
              <w:rPr>
                <w:noProof/>
              </w:rPr>
              <w:drawing>
                <wp:inline distT="0" distB="0" distL="0" distR="0">
                  <wp:extent cx="1241425" cy="1160780"/>
                  <wp:effectExtent l="0" t="0" r="0" b="0"/>
                  <wp:docPr id="1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Равнобедренный</w:t>
            </w:r>
          </w:p>
        </w:tc>
        <w:tc>
          <w:tcPr>
            <w:tcW w:w="199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142" w:rsidRDefault="00F04142" w:rsidP="009249FC">
            <w:pPr>
              <w:pStyle w:val="a0"/>
            </w:pPr>
            <w:r>
              <w:rPr>
                <w:noProof/>
              </w:rPr>
              <w:drawing>
                <wp:inline distT="0" distB="0" distL="0" distR="0">
                  <wp:extent cx="1146810" cy="1001395"/>
                  <wp:effectExtent l="0" t="0" r="0" b="0"/>
                  <wp:docPr id="17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A"/>
                <w:u w:val="none"/>
              </w:rPr>
              <w:br/>
              <w:t>Равносторонний</w:t>
            </w:r>
          </w:p>
        </w:tc>
      </w:tr>
    </w:tbl>
    <w:p w:rsidR="00A85CAD" w:rsidRDefault="00576811">
      <w:pPr>
        <w:pStyle w:val="a0"/>
      </w:pPr>
      <w:hyperlink r:id="rId11"/>
    </w:p>
    <w:p w:rsidR="00A85CAD" w:rsidRDefault="00A85CAD">
      <w:pPr>
        <w:pStyle w:val="a0"/>
      </w:pPr>
    </w:p>
    <w:p w:rsidR="00A85CAD" w:rsidRDefault="00F04142">
      <w:pPr>
        <w:pStyle w:val="a0"/>
      </w:pPr>
      <w:r>
        <w:rPr>
          <w:b w:val="0"/>
          <w:color w:val="00000A"/>
          <w:u w:val="none"/>
        </w:rPr>
        <w:t xml:space="preserve">Если все углы треугольника острые, то треугольник называется </w:t>
      </w:r>
      <w:r>
        <w:rPr>
          <w:i/>
          <w:color w:val="00000A"/>
          <w:u w:val="none"/>
        </w:rPr>
        <w:t>остроугольным</w:t>
      </w:r>
      <w:r>
        <w:rPr>
          <w:b w:val="0"/>
          <w:i/>
          <w:color w:val="00000A"/>
          <w:u w:val="none"/>
        </w:rPr>
        <w:t>;</w:t>
      </w:r>
    </w:p>
    <w:p w:rsidR="00A85CAD" w:rsidRDefault="00F04142">
      <w:pPr>
        <w:pStyle w:val="a0"/>
      </w:pPr>
      <w:r>
        <w:rPr>
          <w:b w:val="0"/>
          <w:color w:val="00000A"/>
          <w:u w:val="none"/>
        </w:rPr>
        <w:t xml:space="preserve">Если один из углов треугольника </w:t>
      </w:r>
      <w:hyperlink r:id="rId12">
        <w:r>
          <w:rPr>
            <w:rStyle w:val="-"/>
            <w:b w:val="0"/>
            <w:color w:val="00000A"/>
            <w:u w:val="none"/>
          </w:rPr>
          <w:t>тупой</w:t>
        </w:r>
      </w:hyperlink>
      <w:r>
        <w:rPr>
          <w:b w:val="0"/>
          <w:color w:val="00000A"/>
          <w:u w:val="none"/>
        </w:rPr>
        <w:t xml:space="preserve"> (больше 90°), то треугольник называется </w:t>
      </w:r>
      <w:r>
        <w:rPr>
          <w:i/>
          <w:color w:val="00000A"/>
          <w:u w:val="none"/>
        </w:rPr>
        <w:t>тупоугольным;</w:t>
      </w:r>
    </w:p>
    <w:p w:rsidR="00A85CAD" w:rsidRDefault="00F04142">
      <w:pPr>
        <w:pStyle w:val="a0"/>
      </w:pPr>
      <w:r>
        <w:rPr>
          <w:b w:val="0"/>
          <w:color w:val="00000A"/>
          <w:u w:val="none"/>
        </w:rPr>
        <w:t xml:space="preserve">Если один из углов треугольника </w:t>
      </w:r>
      <w:hyperlink r:id="rId13">
        <w:r>
          <w:rPr>
            <w:rStyle w:val="-"/>
            <w:b w:val="0"/>
            <w:color w:val="00000A"/>
            <w:u w:val="none"/>
          </w:rPr>
          <w:t>прямой</w:t>
        </w:r>
      </w:hyperlink>
      <w:r>
        <w:rPr>
          <w:b w:val="0"/>
          <w:color w:val="00000A"/>
          <w:u w:val="none"/>
        </w:rPr>
        <w:t xml:space="preserve"> (равен 90°), то треугольник называется </w:t>
      </w:r>
      <w:hyperlink r:id="rId14">
        <w:r>
          <w:rPr>
            <w:rStyle w:val="-"/>
            <w:i/>
            <w:color w:val="00000A"/>
            <w:u w:val="none"/>
          </w:rPr>
          <w:t>прямоугольным</w:t>
        </w:r>
      </w:hyperlink>
      <w:r>
        <w:rPr>
          <w:color w:val="00000A"/>
          <w:u w:val="none"/>
        </w:rPr>
        <w:t xml:space="preserve">. </w:t>
      </w:r>
    </w:p>
    <w:p w:rsidR="00A85CAD" w:rsidRDefault="00F04142">
      <w:pPr>
        <w:pStyle w:val="a0"/>
      </w:pPr>
      <w:r>
        <w:rPr>
          <w:b w:val="0"/>
          <w:color w:val="00000A"/>
          <w:u w:val="none"/>
        </w:rPr>
        <w:t xml:space="preserve">Две стороны, образующие прямой угол, называются </w:t>
      </w:r>
      <w:hyperlink r:id="rId15">
        <w:r>
          <w:rPr>
            <w:rStyle w:val="-"/>
            <w:color w:val="00000A"/>
            <w:u w:val="none"/>
          </w:rPr>
          <w:t>катетами</w:t>
        </w:r>
      </w:hyperlink>
      <w:r>
        <w:rPr>
          <w:b w:val="0"/>
          <w:color w:val="00000A"/>
          <w:u w:val="none"/>
        </w:rPr>
        <w:t xml:space="preserve">, а сторона, противолежащая прямому углу, называется </w:t>
      </w:r>
      <w:r>
        <w:rPr>
          <w:color w:val="00000A"/>
          <w:u w:val="none"/>
        </w:rPr>
        <w:t>гипотенузой</w:t>
      </w:r>
    </w:p>
    <w:p w:rsidR="00A85CAD" w:rsidRDefault="00A85CAD">
      <w:pPr>
        <w:pStyle w:val="a0"/>
      </w:pPr>
    </w:p>
    <w:p w:rsidR="00A85CAD" w:rsidRDefault="00F04142">
      <w:pPr>
        <w:pStyle w:val="a0"/>
      </w:pPr>
      <w:r>
        <w:rPr>
          <w:color w:val="00000A"/>
          <w:u w:val="none"/>
        </w:rPr>
        <w:t>СВОЙСТВА</w:t>
      </w:r>
      <w:proofErr w:type="gramStart"/>
      <w:r>
        <w:rPr>
          <w:color w:val="00000A"/>
          <w:u w:val="none"/>
        </w:rPr>
        <w:t xml:space="preserve"> .</w:t>
      </w:r>
      <w:proofErr w:type="gramEnd"/>
      <w:r>
        <w:rPr>
          <w:color w:val="00000A"/>
          <w:u w:val="none"/>
        </w:rPr>
        <w:t>ПРИЗНАКИ  ПРЯМОУГОЛЬНОГО ТРЕУГОЛЬНИКА</w:t>
      </w:r>
    </w:p>
    <w:p w:rsidR="00A85CAD" w:rsidRDefault="00F04142">
      <w:pPr>
        <w:pStyle w:val="a0"/>
        <w:ind w:left="600"/>
      </w:pPr>
      <w:r>
        <w:rPr>
          <w:color w:val="AA0002"/>
          <w:u w:val="none"/>
        </w:rPr>
        <w:t>1</w:t>
      </w:r>
      <w:r>
        <w:rPr>
          <w:color w:val="000000"/>
          <w:u w:val="none"/>
        </w:rPr>
        <w:t xml:space="preserve"> </w:t>
      </w:r>
      <w:r>
        <w:rPr>
          <w:color w:val="005581"/>
          <w:u w:val="none"/>
        </w:rPr>
        <w:t>Определения. Признаки. Свойства</w:t>
      </w:r>
      <w:r>
        <w:rPr>
          <w:b w:val="0"/>
          <w:bCs w:val="0"/>
          <w:color w:val="00000A"/>
          <w:u w:val="none"/>
        </w:rPr>
        <w:t> </w:t>
      </w:r>
    </w:p>
    <w:tbl>
      <w:tblPr>
        <w:tblW w:w="0" w:type="auto"/>
        <w:tblInd w:w="58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78"/>
        <w:gridCol w:w="4079"/>
      </w:tblGrid>
      <w:tr w:rsidR="00A85CAD">
        <w:tc>
          <w:tcPr>
            <w:tcW w:w="3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t>Сторона прямоугольного треугольника, противолежащая прямому углу, называется  </w:t>
            </w:r>
            <w:r>
              <w:rPr>
                <w:i/>
                <w:iCs/>
                <w:color w:val="000000"/>
                <w:u w:val="none"/>
              </w:rPr>
              <w:t>гипотенузой</w:t>
            </w:r>
            <w:r>
              <w:rPr>
                <w:b w:val="0"/>
                <w:bCs w:val="0"/>
                <w:color w:val="000000"/>
                <w:u w:val="none"/>
              </w:rPr>
              <w:t xml:space="preserve">, две другие стороны называются </w:t>
            </w:r>
            <w:r>
              <w:rPr>
                <w:i/>
                <w:iCs/>
                <w:color w:val="000000"/>
                <w:u w:val="none"/>
              </w:rPr>
              <w:t>катетами</w:t>
            </w:r>
            <w:r>
              <w:rPr>
                <w:b w:val="0"/>
                <w:bCs w:val="0"/>
                <w:color w:val="000000"/>
                <w:u w:val="none"/>
              </w:rPr>
              <w:t xml:space="preserve">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2575" cy="685800"/>
                  <wp:effectExtent l="0" t="0" r="0" b="0"/>
                  <wp:docPr id="7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</w:tr>
      <w:tr w:rsidR="00A85CAD">
        <w:tc>
          <w:tcPr>
            <w:tcW w:w="3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color w:val="00517F"/>
                <w:u w:val="none"/>
              </w:rPr>
              <w:t xml:space="preserve">Теорема Пифагора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lastRenderedPageBreak/>
              <w:t xml:space="preserve">Квадрат длины гипотенузы равен сумме  квадратов длин катетов.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600" cy="152400"/>
                  <wp:effectExtent l="0" t="0" r="0" b="0"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</w:tr>
      <w:tr w:rsidR="00A85CAD">
        <w:tc>
          <w:tcPr>
            <w:tcW w:w="3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color w:val="005581"/>
                <w:u w:val="none"/>
              </w:rPr>
              <w:lastRenderedPageBreak/>
              <w:t xml:space="preserve">Свойства прямоугольного треугольника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i/>
                <w:iCs/>
                <w:color w:val="000000"/>
                <w:u w:val="none"/>
              </w:rPr>
              <w:t>*Медиана</w:t>
            </w:r>
            <w:r>
              <w:rPr>
                <w:b w:val="0"/>
                <w:bCs w:val="0"/>
                <w:color w:val="000000"/>
                <w:u w:val="none"/>
              </w:rPr>
              <w:t xml:space="preserve">, проведенная к гипотенузе прямоугольного треугольника, равна </w:t>
            </w:r>
            <w:r>
              <w:rPr>
                <w:i/>
                <w:iCs/>
                <w:color w:val="000000"/>
                <w:u w:val="none"/>
              </w:rPr>
              <w:t>половине гипотенузы</w:t>
            </w:r>
            <w:r>
              <w:rPr>
                <w:b w:val="0"/>
                <w:bCs w:val="0"/>
                <w:color w:val="000000"/>
                <w:u w:val="none"/>
              </w:rPr>
              <w:t xml:space="preserve">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t xml:space="preserve">*Только в прямоугольном треугольнике </w:t>
            </w:r>
            <w:r>
              <w:rPr>
                <w:i/>
                <w:iCs/>
                <w:color w:val="000000"/>
                <w:u w:val="none"/>
              </w:rPr>
              <w:t>центр описанной окружности</w:t>
            </w:r>
            <w:r>
              <w:rPr>
                <w:b w:val="0"/>
                <w:bCs w:val="0"/>
                <w:color w:val="000000"/>
                <w:u w:val="none"/>
              </w:rPr>
              <w:t xml:space="preserve"> лежит на стороне треугольника и </w:t>
            </w:r>
            <w:r>
              <w:rPr>
                <w:i/>
                <w:iCs/>
                <w:color w:val="000000"/>
                <w:u w:val="none"/>
              </w:rPr>
              <w:t>совпадает с серединой гипотенузы</w:t>
            </w:r>
            <w:r>
              <w:rPr>
                <w:b w:val="0"/>
                <w:bCs w:val="0"/>
                <w:color w:val="000000"/>
                <w:u w:val="none"/>
              </w:rPr>
              <w:t xml:space="preserve">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A"/>
                <w:u w:val="none"/>
              </w:rPr>
              <w:t>*Сумма двух острых углов прямоугольного треугольника равна 90 градусов.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A"/>
                <w:u w:val="none"/>
              </w:rPr>
              <w:t>*Катет прямоугольного треугольника, лежащий против угла в 30 градусов, равен половине гипотенузы.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A"/>
                <w:u w:val="none"/>
              </w:rPr>
              <w:t>*Если катет прямоугольного треугольника равен половине гипотенузы, то угол, лежащий против этого катета, равен 30 градусов.</w:t>
            </w:r>
          </w:p>
        </w:tc>
        <w:tc>
          <w:tcPr>
            <w:tcW w:w="4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33015" cy="771525"/>
                  <wp:effectExtent l="0" t="0" r="0" b="0"/>
                  <wp:docPr id="9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</w:tr>
      <w:tr w:rsidR="00A85CAD">
        <w:tc>
          <w:tcPr>
            <w:tcW w:w="3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i/>
                <w:iCs/>
                <w:color w:val="000000"/>
                <w:u w:val="none"/>
              </w:rPr>
              <w:t>Площадь</w:t>
            </w:r>
            <w:r>
              <w:rPr>
                <w:b w:val="0"/>
                <w:bCs w:val="0"/>
                <w:color w:val="000000"/>
                <w:u w:val="none"/>
              </w:rPr>
              <w:t xml:space="preserve"> прямоугольного треугольника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t xml:space="preserve">( </w:t>
            </w:r>
            <w:proofErr w:type="spellStart"/>
            <w:r>
              <w:rPr>
                <w:b w:val="0"/>
                <w:bCs w:val="0"/>
                <w:i/>
                <w:iCs/>
                <w:color w:val="000000"/>
                <w:u w:val="none"/>
              </w:rPr>
              <w:t>h</w:t>
            </w:r>
            <w:proofErr w:type="spellEnd"/>
            <w:r>
              <w:rPr>
                <w:b w:val="0"/>
                <w:bCs w:val="0"/>
                <w:color w:val="000000"/>
                <w:u w:val="none"/>
              </w:rPr>
              <w:t xml:space="preserve"> - высота, проведенная к гипотенузе</w:t>
            </w:r>
            <w:proofErr w:type="gramStart"/>
            <w:r>
              <w:rPr>
                <w:b w:val="0"/>
                <w:bCs w:val="0"/>
                <w:color w:val="000000"/>
                <w:u w:val="none"/>
              </w:rPr>
              <w:t xml:space="preserve"> )</w:t>
            </w:r>
            <w:proofErr w:type="gramEnd"/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1415" cy="266700"/>
                  <wp:effectExtent l="0" t="0" r="0" b="0"/>
                  <wp:docPr id="10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</w:tr>
      <w:tr w:rsidR="00A85CAD">
        <w:tc>
          <w:tcPr>
            <w:tcW w:w="3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color w:val="005581"/>
                <w:u w:val="none"/>
              </w:rPr>
              <w:t>Признаки прямоугольных треугольников</w:t>
            </w:r>
            <w:r>
              <w:rPr>
                <w:b w:val="0"/>
                <w:bCs w:val="0"/>
                <w:color w:val="000000"/>
                <w:u w:val="none"/>
              </w:rPr>
              <w:t xml:space="preserve">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t xml:space="preserve">Если квадрат одной из сторон треугольника равен сумме квадратов двух других сторон, то такой треугольник прямоугольный.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0"/>
                <w:u w:val="none"/>
              </w:rPr>
              <w:t xml:space="preserve">Если медиана треугольника равна половине соответствующей ей стороны, то треугольник прямоугольный. </w:t>
            </w: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  <w:tc>
          <w:tcPr>
            <w:tcW w:w="40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5CAD" w:rsidRDefault="00F04142">
            <w:pPr>
              <w:pStyle w:val="a0"/>
              <w:jc w:val="center"/>
            </w:pPr>
            <w:r>
              <w:rPr>
                <w:b w:val="0"/>
                <w:bCs w:val="0"/>
                <w:color w:val="00000A"/>
                <w:u w:val="none"/>
              </w:rPr>
              <w:t> </w:t>
            </w:r>
          </w:p>
        </w:tc>
      </w:tr>
    </w:tbl>
    <w:p w:rsidR="00A85CAD" w:rsidRDefault="00F04142">
      <w:pPr>
        <w:pStyle w:val="a0"/>
        <w:ind w:left="600"/>
      </w:pPr>
      <w:r>
        <w:rPr>
          <w:b w:val="0"/>
          <w:bCs w:val="0"/>
          <w:color w:val="00000A"/>
          <w:u w:val="none"/>
        </w:rPr>
        <w:t>Задача №1</w:t>
      </w:r>
    </w:p>
    <w:p w:rsidR="00A85CAD" w:rsidRDefault="00F04142">
      <w:pPr>
        <w:pStyle w:val="a0"/>
      </w:pPr>
      <w:r>
        <w:rPr>
          <w:b w:val="0"/>
          <w:bCs w:val="0"/>
          <w:color w:val="4D4B41"/>
          <w:u w:val="none"/>
        </w:rPr>
        <w:t>Сколько потребуется кафельных плиток квадратной формы со стороной 15 см, чтобы облицевать ими стену, имеющую форму прямоугольника со сторонами 3 м и 3 м?</w:t>
      </w:r>
    </w:p>
    <w:p w:rsidR="00A85CAD" w:rsidRDefault="00F04142">
      <w:pPr>
        <w:pStyle w:val="a0"/>
        <w:ind w:left="600"/>
      </w:pPr>
      <w:r>
        <w:rPr>
          <w:b w:val="0"/>
          <w:bCs w:val="0"/>
          <w:color w:val="00000A"/>
          <w:u w:val="none"/>
        </w:rPr>
        <w:t> </w:t>
      </w:r>
    </w:p>
    <w:p w:rsidR="00A85CAD" w:rsidRDefault="00F04142">
      <w:pPr>
        <w:pStyle w:val="a0"/>
      </w:pPr>
      <w:bookmarkStart w:id="0" w:name="MapleAutoBookmark43"/>
      <w:bookmarkEnd w:id="0"/>
      <w:r>
        <w:rPr>
          <w:color w:val="00000A"/>
          <w:u w:val="none"/>
        </w:rPr>
        <w:t>Задача №2</w:t>
      </w:r>
    </w:p>
    <w:p w:rsidR="00A85CAD" w:rsidRPr="00F04142" w:rsidRDefault="00F04142">
      <w:pPr>
        <w:pStyle w:val="a0"/>
        <w:rPr>
          <w:b w:val="0"/>
          <w:color w:val="auto"/>
        </w:rPr>
      </w:pPr>
      <w:r w:rsidRPr="00F04142">
        <w:rPr>
          <w:rFonts w:ascii="Arial" w:hAnsi="Arial" w:cs="Arial"/>
          <w:b w:val="0"/>
          <w:color w:val="auto"/>
        </w:rPr>
        <w:t xml:space="preserve">В ромбе сторона равна 54, одна из диагоналей — 54, а угол, из которого выходит эта диагональ, равен </w:t>
      </w:r>
      <w:r w:rsidRPr="00F04142">
        <w:rPr>
          <w:b w:val="0"/>
          <w:noProof/>
          <w:color w:val="auto"/>
        </w:rPr>
        <w:drawing>
          <wp:inline distT="0" distB="0" distL="0" distR="0">
            <wp:extent cx="351790" cy="142875"/>
            <wp:effectExtent l="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142">
        <w:rPr>
          <w:rFonts w:ascii="Arial" w:hAnsi="Arial" w:cs="Arial"/>
          <w:b w:val="0"/>
          <w:color w:val="auto"/>
        </w:rPr>
        <w:t xml:space="preserve">. Найдите площадь ромба. </w:t>
      </w:r>
    </w:p>
    <w:p w:rsidR="00A85CAD" w:rsidRPr="00F04142" w:rsidRDefault="00A85CAD">
      <w:pPr>
        <w:pStyle w:val="a0"/>
        <w:rPr>
          <w:b w:val="0"/>
          <w:color w:val="auto"/>
        </w:rPr>
      </w:pPr>
    </w:p>
    <w:p w:rsidR="00EA66C5" w:rsidRPr="00EA66C5" w:rsidRDefault="00EA66C5" w:rsidP="00EA66C5">
      <w:pPr>
        <w:pStyle w:val="a0"/>
        <w:rPr>
          <w:rFonts w:ascii="Arial" w:hAnsi="Arial" w:cs="Arial"/>
          <w:b w:val="0"/>
          <w:i/>
          <w:color w:val="auto"/>
        </w:rPr>
      </w:pPr>
      <w:r w:rsidRPr="00EA66C5">
        <w:rPr>
          <w:rFonts w:ascii="Arial" w:hAnsi="Arial" w:cs="Arial"/>
          <w:b w:val="0"/>
          <w:i/>
          <w:color w:val="auto"/>
        </w:rPr>
        <w:t>Задача №3</w:t>
      </w:r>
    </w:p>
    <w:p w:rsidR="00EA66C5" w:rsidRPr="00EA66C5" w:rsidRDefault="00EA66C5" w:rsidP="00EA66C5">
      <w:pPr>
        <w:pStyle w:val="a0"/>
        <w:rPr>
          <w:rFonts w:cs="Lohit Hindi"/>
          <w:b w:val="0"/>
          <w:color w:val="auto"/>
        </w:rPr>
      </w:pPr>
      <w:r w:rsidRPr="00EA66C5">
        <w:rPr>
          <w:rFonts w:ascii="Arial" w:hAnsi="Arial" w:cs="Arial"/>
          <w:b w:val="0"/>
          <w:i/>
          <w:color w:val="auto"/>
        </w:rPr>
        <w:t>Основания трапеции относятся как 1:11, а средняя линия равна 48. Найдите большее основание трапеции.</w:t>
      </w:r>
    </w:p>
    <w:p w:rsidR="00A85CAD" w:rsidRPr="00EA66C5" w:rsidRDefault="00A85CAD">
      <w:pPr>
        <w:pStyle w:val="a0"/>
        <w:rPr>
          <w:b w:val="0"/>
          <w:color w:val="auto"/>
        </w:rPr>
      </w:pPr>
    </w:p>
    <w:p w:rsidR="00A85CAD" w:rsidRPr="00EA66C5" w:rsidRDefault="00A85CAD">
      <w:pPr>
        <w:pStyle w:val="a0"/>
        <w:rPr>
          <w:b w:val="0"/>
          <w:color w:val="auto"/>
        </w:rPr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p w:rsidR="00A85CAD" w:rsidRDefault="00A85CAD">
      <w:pPr>
        <w:pStyle w:val="a0"/>
      </w:pPr>
    </w:p>
    <w:sectPr w:rsidR="00A85CAD" w:rsidSect="00A85C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638E7"/>
    <w:multiLevelType w:val="multilevel"/>
    <w:tmpl w:val="8C702C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CAD"/>
    <w:rsid w:val="00576811"/>
    <w:rsid w:val="00A85CAD"/>
    <w:rsid w:val="00EA66C5"/>
    <w:rsid w:val="00F0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1"/>
  </w:style>
  <w:style w:type="paragraph" w:styleId="3">
    <w:name w:val="heading 3"/>
    <w:basedOn w:val="a0"/>
    <w:next w:val="a1"/>
    <w:rsid w:val="00A85CAD"/>
    <w:pPr>
      <w:numPr>
        <w:ilvl w:val="2"/>
        <w:numId w:val="1"/>
      </w:numPr>
      <w:outlineLvl w:val="2"/>
    </w:pPr>
    <w:rPr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85CAD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character" w:customStyle="1" w:styleId="30">
    <w:name w:val="Заголовок 3 Знак"/>
    <w:basedOn w:val="a2"/>
    <w:rsid w:val="00A85C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2"/>
    <w:rsid w:val="00A85CAD"/>
    <w:rPr>
      <w:color w:val="0000FF"/>
      <w:u w:val="single"/>
      <w:lang w:val="ru-RU" w:eastAsia="ru-RU" w:bidi="ru-RU"/>
    </w:rPr>
  </w:style>
  <w:style w:type="character" w:customStyle="1" w:styleId="editsection">
    <w:name w:val="editsection"/>
    <w:basedOn w:val="a2"/>
    <w:rsid w:val="00A85CAD"/>
  </w:style>
  <w:style w:type="character" w:customStyle="1" w:styleId="mw-headline">
    <w:name w:val="mw-headline"/>
    <w:basedOn w:val="a2"/>
    <w:rsid w:val="00A85CAD"/>
  </w:style>
  <w:style w:type="character" w:customStyle="1" w:styleId="a5">
    <w:name w:val="Текст выноски Знак"/>
    <w:basedOn w:val="a2"/>
    <w:rsid w:val="00A85CA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2"/>
    <w:rsid w:val="00A85CAD"/>
  </w:style>
  <w:style w:type="character" w:styleId="a7">
    <w:name w:val="page number"/>
    <w:basedOn w:val="a2"/>
    <w:rsid w:val="00A85CAD"/>
  </w:style>
  <w:style w:type="character" w:customStyle="1" w:styleId="a8">
    <w:name w:val="Выделение жирным"/>
    <w:basedOn w:val="a2"/>
    <w:rsid w:val="00A85CAD"/>
    <w:rPr>
      <w:b/>
      <w:bCs/>
    </w:rPr>
  </w:style>
  <w:style w:type="character" w:styleId="a9">
    <w:name w:val="Placeholder Text"/>
    <w:basedOn w:val="a2"/>
    <w:rsid w:val="00A85CAD"/>
    <w:rPr>
      <w:color w:val="808080"/>
    </w:rPr>
  </w:style>
  <w:style w:type="character" w:customStyle="1" w:styleId="aa">
    <w:name w:val="Схема документа Знак"/>
    <w:basedOn w:val="a2"/>
    <w:rsid w:val="00A85CAD"/>
    <w:rPr>
      <w:rFonts w:ascii="Tahoma" w:eastAsia="Times New Roman" w:hAnsi="Tahoma" w:cs="Tahoma"/>
      <w:b/>
      <w:bCs/>
      <w:color w:val="0000FF"/>
      <w:sz w:val="16"/>
      <w:szCs w:val="16"/>
      <w:u w:val="single"/>
      <w:lang w:eastAsia="ru-RU"/>
    </w:rPr>
  </w:style>
  <w:style w:type="character" w:styleId="ab">
    <w:name w:val="Emphasis"/>
    <w:basedOn w:val="a2"/>
    <w:rsid w:val="00A85CAD"/>
    <w:rPr>
      <w:i/>
      <w:iCs/>
    </w:rPr>
  </w:style>
  <w:style w:type="character" w:customStyle="1" w:styleId="ListLabel1">
    <w:name w:val="ListLabel 1"/>
    <w:rsid w:val="00A85CAD"/>
    <w:rPr>
      <w:sz w:val="20"/>
    </w:rPr>
  </w:style>
  <w:style w:type="character" w:customStyle="1" w:styleId="ListLabel2">
    <w:name w:val="ListLabel 2"/>
    <w:rsid w:val="00A85CAD"/>
    <w:rPr>
      <w:rFonts w:eastAsia="Times New Roman" w:cs="Times New Roman"/>
    </w:rPr>
  </w:style>
  <w:style w:type="character" w:customStyle="1" w:styleId="ListLabel3">
    <w:name w:val="ListLabel 3"/>
    <w:rsid w:val="00A85CAD"/>
    <w:rPr>
      <w:rFonts w:cs="Courier New"/>
    </w:rPr>
  </w:style>
  <w:style w:type="paragraph" w:customStyle="1" w:styleId="ac">
    <w:name w:val="Заголовок"/>
    <w:basedOn w:val="a0"/>
    <w:next w:val="a1"/>
    <w:rsid w:val="00A85CA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1">
    <w:name w:val="Body Text"/>
    <w:basedOn w:val="a0"/>
    <w:rsid w:val="00A85CAD"/>
    <w:pPr>
      <w:spacing w:before="0" w:after="120"/>
    </w:pPr>
  </w:style>
  <w:style w:type="paragraph" w:styleId="ad">
    <w:name w:val="List"/>
    <w:basedOn w:val="a1"/>
    <w:rsid w:val="00A85CAD"/>
    <w:rPr>
      <w:rFonts w:cs="Lohit Hindi"/>
    </w:rPr>
  </w:style>
  <w:style w:type="paragraph" w:styleId="ae">
    <w:name w:val="Title"/>
    <w:basedOn w:val="a0"/>
    <w:rsid w:val="00A85CAD"/>
    <w:pPr>
      <w:suppressLineNumbers/>
      <w:spacing w:before="120" w:after="120"/>
    </w:pPr>
    <w:rPr>
      <w:rFonts w:cs="Lohit Hindi"/>
      <w:i/>
      <w:iCs/>
    </w:rPr>
  </w:style>
  <w:style w:type="paragraph" w:styleId="af">
    <w:name w:val="index heading"/>
    <w:basedOn w:val="a0"/>
    <w:rsid w:val="00A85CAD"/>
    <w:pPr>
      <w:suppressLineNumbers/>
    </w:pPr>
    <w:rPr>
      <w:rFonts w:cs="Lohit Hindi"/>
    </w:rPr>
  </w:style>
  <w:style w:type="paragraph" w:styleId="af0">
    <w:name w:val="Normal (Web)"/>
    <w:basedOn w:val="a0"/>
    <w:rsid w:val="00A85CAD"/>
  </w:style>
  <w:style w:type="paragraph" w:styleId="af1">
    <w:name w:val="Balloon Text"/>
    <w:basedOn w:val="a0"/>
    <w:rsid w:val="00A85CAD"/>
    <w:pPr>
      <w:spacing w:after="0"/>
    </w:pPr>
    <w:rPr>
      <w:rFonts w:ascii="Tahoma" w:hAnsi="Tahoma" w:cs="Tahoma"/>
      <w:sz w:val="16"/>
      <w:szCs w:val="16"/>
    </w:rPr>
  </w:style>
  <w:style w:type="paragraph" w:styleId="af2">
    <w:name w:val="footer"/>
    <w:basedOn w:val="a0"/>
    <w:rsid w:val="00A85CAD"/>
    <w:pPr>
      <w:suppressLineNumbers/>
      <w:tabs>
        <w:tab w:val="center" w:pos="4677"/>
        <w:tab w:val="right" w:pos="9355"/>
      </w:tabs>
      <w:spacing w:after="0"/>
    </w:pPr>
  </w:style>
  <w:style w:type="paragraph" w:styleId="af3">
    <w:name w:val="List Paragraph"/>
    <w:basedOn w:val="a0"/>
    <w:rsid w:val="00A85CAD"/>
    <w:pPr>
      <w:ind w:left="720"/>
    </w:pPr>
  </w:style>
  <w:style w:type="paragraph" w:styleId="af4">
    <w:name w:val="Document Map"/>
    <w:basedOn w:val="a0"/>
    <w:rsid w:val="00A85CAD"/>
    <w:pPr>
      <w:spacing w:before="0"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ru.wikipedia.org/wiki/&#1055;&#1088;&#1103;&#1084;&#1086;&#1081;_&#1091;&#1075;&#1086;&#1083;" TargetMode="External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ru.wikipedia.org/wiki/&#1058;&#1091;&#1087;&#1086;&#1081;_&#1091;&#1075;&#1086;&#1083;" TargetMode="External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&#1060;&#1072;&#1081;&#1083;:Triangle_sommeangles.sv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&#1050;&#1072;&#1090;&#1077;&#1090;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ru.wikipedia.org/wiki/&#1055;&#1088;&#1103;&#1084;&#1086;&#1091;&#1075;&#1086;&#1083;&#1100;&#1085;&#1099;&#1081;_&#1090;&#1088;&#1077;&#1091;&#1075;&#1086;&#1083;&#1100;&#1085;&#1080;&#108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2013-03-16T09:10:00Z</dcterms:created>
  <dcterms:modified xsi:type="dcterms:W3CDTF">2013-03-26T08:44:00Z</dcterms:modified>
</cp:coreProperties>
</file>