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80" w:rsidRDefault="00AA7480" w:rsidP="00AA7480">
      <w:pPr>
        <w:ind w:firstLine="720"/>
        <w:jc w:val="both"/>
        <w:rPr>
          <w:sz w:val="28"/>
        </w:rPr>
      </w:pPr>
    </w:p>
    <w:p w:rsidR="00C229CB" w:rsidRDefault="00C229CB" w:rsidP="00C229CB">
      <w:pPr>
        <w:ind w:firstLine="720"/>
        <w:jc w:val="both"/>
        <w:rPr>
          <w:b/>
          <w:sz w:val="28"/>
          <w:szCs w:val="28"/>
        </w:rPr>
      </w:pPr>
      <w:r w:rsidRPr="00C229CB">
        <w:rPr>
          <w:b/>
          <w:sz w:val="28"/>
          <w:szCs w:val="28"/>
        </w:rPr>
        <w:t>ДЕЯТЕЛЬНОСТЬ ИНОСТРАННЫХ СПЕЦИАЛИСТОВ В ВЯТСКОЙ ГУБЕРНИИ В</w:t>
      </w:r>
      <w:r>
        <w:rPr>
          <w:b/>
          <w:sz w:val="28"/>
          <w:szCs w:val="28"/>
        </w:rPr>
        <w:t>О ВТОРОЙ ПОЛОВИНЕ</w:t>
      </w:r>
      <w:r w:rsidRPr="00C229CB">
        <w:rPr>
          <w:b/>
          <w:sz w:val="28"/>
          <w:szCs w:val="28"/>
        </w:rPr>
        <w:t xml:space="preserve"> </w:t>
      </w:r>
      <w:r w:rsidRPr="00C229CB">
        <w:rPr>
          <w:b/>
          <w:sz w:val="28"/>
          <w:szCs w:val="28"/>
          <w:lang w:val="en-US"/>
        </w:rPr>
        <w:t>XIX</w:t>
      </w:r>
      <w:r w:rsidRPr="00C229CB">
        <w:rPr>
          <w:b/>
          <w:sz w:val="28"/>
          <w:szCs w:val="28"/>
        </w:rPr>
        <w:t xml:space="preserve"> </w:t>
      </w:r>
      <w:proofErr w:type="gramStart"/>
      <w:r w:rsidRPr="00C229CB">
        <w:rPr>
          <w:b/>
          <w:sz w:val="28"/>
          <w:szCs w:val="28"/>
        </w:rPr>
        <w:t>в</w:t>
      </w:r>
      <w:proofErr w:type="gramEnd"/>
      <w:r w:rsidRPr="00C229CB">
        <w:rPr>
          <w:b/>
          <w:sz w:val="28"/>
          <w:szCs w:val="28"/>
        </w:rPr>
        <w:t>.</w:t>
      </w:r>
    </w:p>
    <w:p w:rsidR="00AA7480" w:rsidRDefault="00AA7480" w:rsidP="00C229CB">
      <w:pPr>
        <w:ind w:firstLine="720"/>
        <w:jc w:val="both"/>
        <w:rPr>
          <w:sz w:val="28"/>
          <w:szCs w:val="28"/>
        </w:rPr>
      </w:pPr>
    </w:p>
    <w:p w:rsidR="00AA7480" w:rsidRPr="009C52A2" w:rsidRDefault="00AA7480" w:rsidP="00C229CB">
      <w:pPr>
        <w:ind w:firstLine="720"/>
        <w:jc w:val="both"/>
        <w:rPr>
          <w:sz w:val="28"/>
          <w:szCs w:val="28"/>
        </w:rPr>
      </w:pPr>
      <w:r w:rsidRPr="009C52A2">
        <w:rPr>
          <w:sz w:val="28"/>
          <w:szCs w:val="28"/>
        </w:rPr>
        <w:t>Перетягина А.В.</w:t>
      </w:r>
      <w:r w:rsidR="009C52A2" w:rsidRPr="009C52A2">
        <w:rPr>
          <w:sz w:val="28"/>
          <w:szCs w:val="28"/>
        </w:rPr>
        <w:t xml:space="preserve"> // Инновационный подход к развитию регионов. Материалы Международной научно-практической конференции: Сборник научных трудов. – Киров: ФГБОУ ВПО Вятская ГСХА, 2012. – с. 159-161.</w:t>
      </w:r>
    </w:p>
    <w:p w:rsidR="00AA7480" w:rsidRPr="00AA7480" w:rsidRDefault="00AA7480" w:rsidP="00C229CB">
      <w:pPr>
        <w:ind w:firstLine="720"/>
        <w:jc w:val="both"/>
        <w:rPr>
          <w:sz w:val="28"/>
          <w:szCs w:val="28"/>
        </w:rPr>
      </w:pPr>
    </w:p>
    <w:p w:rsidR="00C229CB" w:rsidRDefault="00C229CB" w:rsidP="00C229CB">
      <w:pPr>
        <w:ind w:firstLine="720"/>
        <w:jc w:val="both"/>
        <w:rPr>
          <w:sz w:val="28"/>
          <w:szCs w:val="28"/>
        </w:rPr>
      </w:pPr>
    </w:p>
    <w:p w:rsidR="00C229CB" w:rsidRDefault="00C229CB" w:rsidP="00C229CB">
      <w:pPr>
        <w:ind w:firstLine="720"/>
        <w:jc w:val="both"/>
        <w:rPr>
          <w:sz w:val="28"/>
          <w:szCs w:val="28"/>
        </w:rPr>
      </w:pPr>
      <w:r w:rsidRPr="000E3984">
        <w:rPr>
          <w:sz w:val="28"/>
          <w:szCs w:val="28"/>
        </w:rPr>
        <w:t xml:space="preserve">Россия ещё с </w:t>
      </w:r>
      <w:r w:rsidRPr="000E3984">
        <w:rPr>
          <w:sz w:val="28"/>
          <w:szCs w:val="28"/>
          <w:lang w:val="en-US"/>
        </w:rPr>
        <w:t>XVI</w:t>
      </w:r>
      <w:r w:rsidRPr="000E3984">
        <w:rPr>
          <w:sz w:val="28"/>
          <w:szCs w:val="28"/>
        </w:rPr>
        <w:t>-</w:t>
      </w:r>
      <w:r w:rsidRPr="000E3984">
        <w:rPr>
          <w:sz w:val="28"/>
          <w:szCs w:val="28"/>
          <w:lang w:val="en-US"/>
        </w:rPr>
        <w:t>XVII</w:t>
      </w:r>
      <w:r w:rsidRPr="000E3984">
        <w:rPr>
          <w:sz w:val="28"/>
          <w:szCs w:val="28"/>
        </w:rPr>
        <w:t xml:space="preserve"> века привлекала иностранных специалистов для обмена опытом и повышения эффективности работы. В Вятской губернию </w:t>
      </w:r>
      <w:r w:rsidR="00AA7480">
        <w:rPr>
          <w:sz w:val="28"/>
          <w:szCs w:val="28"/>
        </w:rPr>
        <w:t xml:space="preserve">на протяжении всего </w:t>
      </w:r>
      <w:proofErr w:type="gramStart"/>
      <w:r w:rsidRPr="000E3984">
        <w:rPr>
          <w:sz w:val="28"/>
          <w:szCs w:val="28"/>
        </w:rPr>
        <w:t>Х</w:t>
      </w:r>
      <w:proofErr w:type="gramEnd"/>
      <w:r w:rsidRPr="000E3984">
        <w:rPr>
          <w:sz w:val="28"/>
          <w:szCs w:val="28"/>
          <w:lang w:val="en-US"/>
        </w:rPr>
        <w:t>IX</w:t>
      </w:r>
      <w:r w:rsidRPr="000E3984">
        <w:rPr>
          <w:sz w:val="28"/>
          <w:szCs w:val="28"/>
        </w:rPr>
        <w:t xml:space="preserve"> в. так же привлекались иностранные подданные  инженеры, мастера, </w:t>
      </w:r>
      <w:r>
        <w:rPr>
          <w:sz w:val="28"/>
          <w:szCs w:val="28"/>
        </w:rPr>
        <w:t>которые</w:t>
      </w:r>
      <w:r w:rsidRPr="000E3984">
        <w:rPr>
          <w:sz w:val="28"/>
          <w:szCs w:val="28"/>
        </w:rPr>
        <w:t xml:space="preserve"> внесли заметный вклад в хозяйственно-экономическое развитие региона. </w:t>
      </w:r>
    </w:p>
    <w:p w:rsidR="006F7ECD" w:rsidRDefault="00C229CB" w:rsidP="00C229CB">
      <w:pPr>
        <w:ind w:firstLine="720"/>
        <w:jc w:val="both"/>
        <w:rPr>
          <w:sz w:val="28"/>
          <w:szCs w:val="28"/>
        </w:rPr>
      </w:pPr>
      <w:proofErr w:type="gramStart"/>
      <w:r w:rsidRPr="000E3984">
        <w:rPr>
          <w:sz w:val="28"/>
          <w:szCs w:val="28"/>
        </w:rPr>
        <w:t xml:space="preserve">22 января </w:t>
      </w:r>
      <w:smartTag w:uri="urn:schemas-microsoft-com:office:smarttags" w:element="metricconverter">
        <w:smartTagPr>
          <w:attr w:name="ProductID" w:val="1855 г"/>
        </w:smartTagPr>
        <w:r w:rsidRPr="000E3984">
          <w:rPr>
            <w:sz w:val="28"/>
            <w:szCs w:val="28"/>
          </w:rPr>
          <w:t>1855 г</w:t>
        </w:r>
      </w:smartTag>
      <w:r w:rsidRPr="000E3984">
        <w:rPr>
          <w:sz w:val="28"/>
          <w:szCs w:val="28"/>
        </w:rPr>
        <w:t xml:space="preserve">. министр финансов сообщил вятскому губернатору, что «по высочайшему повелению для  составления топографических, лесных и геологических карт дачам казённых уральских заводов, приглашены на 5 лет французские подданные инженеры-топографы Бержье и </w:t>
      </w:r>
      <w:proofErr w:type="spellStart"/>
      <w:r w:rsidRPr="000E3984">
        <w:rPr>
          <w:sz w:val="28"/>
          <w:szCs w:val="28"/>
        </w:rPr>
        <w:t>Алори</w:t>
      </w:r>
      <w:proofErr w:type="spellEnd"/>
      <w:r w:rsidRPr="000E3984">
        <w:rPr>
          <w:sz w:val="28"/>
          <w:szCs w:val="28"/>
        </w:rPr>
        <w:t>»</w:t>
      </w:r>
      <w:r w:rsidR="006F7ECD" w:rsidRPr="000E3984">
        <w:rPr>
          <w:rStyle w:val="a7"/>
          <w:sz w:val="28"/>
          <w:szCs w:val="28"/>
        </w:rPr>
        <w:endnoteReference w:id="2"/>
      </w:r>
      <w:r w:rsidR="006F7ECD" w:rsidRPr="000E3984">
        <w:rPr>
          <w:sz w:val="28"/>
          <w:szCs w:val="28"/>
        </w:rPr>
        <w:t>. С этими инженерами  заключены контракты, по которым «означенным инженерам-топографам для исполнения принятых ими на себя работ, встречается надобность в беспрестанных  разъездах по уральским заводам в пермской</w:t>
      </w:r>
      <w:proofErr w:type="gramEnd"/>
      <w:r w:rsidR="006F7ECD" w:rsidRPr="000E3984">
        <w:rPr>
          <w:sz w:val="28"/>
          <w:szCs w:val="28"/>
        </w:rPr>
        <w:t xml:space="preserve"> губернии, равно в Златоустовский округ и </w:t>
      </w:r>
      <w:proofErr w:type="spellStart"/>
      <w:r w:rsidR="006F7ECD" w:rsidRPr="000E3984">
        <w:rPr>
          <w:sz w:val="28"/>
          <w:szCs w:val="28"/>
        </w:rPr>
        <w:t>Воткинский</w:t>
      </w:r>
      <w:proofErr w:type="spellEnd"/>
      <w:r w:rsidR="006F7ECD" w:rsidRPr="000E3984">
        <w:rPr>
          <w:sz w:val="28"/>
          <w:szCs w:val="28"/>
        </w:rPr>
        <w:t xml:space="preserve"> – </w:t>
      </w:r>
      <w:proofErr w:type="gramStart"/>
      <w:r w:rsidR="006F7ECD" w:rsidRPr="000E3984">
        <w:rPr>
          <w:sz w:val="28"/>
          <w:szCs w:val="28"/>
        </w:rPr>
        <w:t>в</w:t>
      </w:r>
      <w:proofErr w:type="gramEnd"/>
      <w:r w:rsidR="006F7ECD" w:rsidRPr="000E3984">
        <w:rPr>
          <w:sz w:val="28"/>
          <w:szCs w:val="28"/>
        </w:rPr>
        <w:t xml:space="preserve"> Вятской губернии</w:t>
      </w:r>
      <w:r w:rsidR="006F7ECD">
        <w:rPr>
          <w:sz w:val="28"/>
          <w:szCs w:val="28"/>
        </w:rPr>
        <w:t>»</w:t>
      </w:r>
      <w:r w:rsidR="006F7ECD" w:rsidRPr="000E3984">
        <w:rPr>
          <w:sz w:val="28"/>
          <w:szCs w:val="28"/>
        </w:rPr>
        <w:t xml:space="preserve">. </w:t>
      </w:r>
    </w:p>
    <w:p w:rsidR="006F7ECD" w:rsidRPr="000E3984" w:rsidRDefault="006F7ECD" w:rsidP="00C229CB">
      <w:pPr>
        <w:ind w:firstLine="720"/>
        <w:jc w:val="both"/>
        <w:rPr>
          <w:sz w:val="28"/>
          <w:szCs w:val="28"/>
        </w:rPr>
      </w:pPr>
      <w:proofErr w:type="gramStart"/>
      <w:r w:rsidRPr="000E3984">
        <w:rPr>
          <w:sz w:val="28"/>
          <w:szCs w:val="28"/>
        </w:rPr>
        <w:t xml:space="preserve">Через год, 5 мая 1856 инженеры-топографы </w:t>
      </w:r>
      <w:proofErr w:type="spellStart"/>
      <w:r w:rsidRPr="000E3984">
        <w:rPr>
          <w:sz w:val="28"/>
          <w:szCs w:val="28"/>
        </w:rPr>
        <w:t>Берсье</w:t>
      </w:r>
      <w:proofErr w:type="spellEnd"/>
      <w:r w:rsidRPr="000E3984">
        <w:rPr>
          <w:sz w:val="28"/>
          <w:szCs w:val="28"/>
        </w:rPr>
        <w:t xml:space="preserve"> и </w:t>
      </w:r>
      <w:proofErr w:type="spellStart"/>
      <w:r w:rsidRPr="000E3984">
        <w:rPr>
          <w:sz w:val="28"/>
          <w:szCs w:val="28"/>
        </w:rPr>
        <w:t>Алори</w:t>
      </w:r>
      <w:proofErr w:type="spellEnd"/>
      <w:r w:rsidRPr="000E39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</w:t>
      </w:r>
      <w:r w:rsidRPr="000E3984">
        <w:rPr>
          <w:sz w:val="28"/>
          <w:szCs w:val="28"/>
        </w:rPr>
        <w:t xml:space="preserve">командированы на лето в </w:t>
      </w:r>
      <w:proofErr w:type="spellStart"/>
      <w:r w:rsidRPr="000E3984">
        <w:rPr>
          <w:sz w:val="28"/>
          <w:szCs w:val="28"/>
        </w:rPr>
        <w:t>Воткинский</w:t>
      </w:r>
      <w:proofErr w:type="spellEnd"/>
      <w:r w:rsidRPr="000E3984">
        <w:rPr>
          <w:sz w:val="28"/>
          <w:szCs w:val="28"/>
        </w:rPr>
        <w:t xml:space="preserve"> округ горного межевщика Бровкина с просьбой к губернатору «сделать  распоряжение, чтобы г-ну Бровкину с партией оказываемо было  законное пособие в Вятскую губернию, и чтобы немедленно отводимы были обывательские  квартиры, на том основании, как  отводятся они военным чинам»</w:t>
      </w:r>
      <w:r w:rsidRPr="000E3984">
        <w:rPr>
          <w:rStyle w:val="a7"/>
          <w:sz w:val="28"/>
          <w:szCs w:val="28"/>
        </w:rPr>
        <w:endnoteReference w:id="3"/>
      </w:r>
      <w:r w:rsidRPr="000E3984">
        <w:rPr>
          <w:sz w:val="28"/>
          <w:szCs w:val="28"/>
        </w:rPr>
        <w:t>.</w:t>
      </w:r>
      <w:proofErr w:type="gramEnd"/>
    </w:p>
    <w:p w:rsidR="006F7ECD" w:rsidRPr="000E3984" w:rsidRDefault="006F7ECD" w:rsidP="00C229CB">
      <w:pPr>
        <w:ind w:firstLine="720"/>
        <w:jc w:val="both"/>
        <w:rPr>
          <w:sz w:val="28"/>
          <w:szCs w:val="28"/>
        </w:rPr>
      </w:pPr>
      <w:r w:rsidRPr="000E3984">
        <w:rPr>
          <w:sz w:val="28"/>
          <w:szCs w:val="28"/>
        </w:rPr>
        <w:t xml:space="preserve">После того, как инженерам-топографам были отведены  обывательские квартиры </w:t>
      </w:r>
      <w:proofErr w:type="gramStart"/>
      <w:r w:rsidRPr="000E3984">
        <w:rPr>
          <w:sz w:val="28"/>
          <w:szCs w:val="28"/>
        </w:rPr>
        <w:t>в</w:t>
      </w:r>
      <w:proofErr w:type="gramEnd"/>
      <w:r w:rsidRPr="000E3984">
        <w:rPr>
          <w:sz w:val="28"/>
          <w:szCs w:val="28"/>
        </w:rPr>
        <w:t xml:space="preserve"> </w:t>
      </w:r>
      <w:proofErr w:type="gramStart"/>
      <w:r w:rsidRPr="000E3984">
        <w:rPr>
          <w:sz w:val="28"/>
          <w:szCs w:val="28"/>
        </w:rPr>
        <w:t>Воткинском</w:t>
      </w:r>
      <w:proofErr w:type="gramEnd"/>
      <w:r w:rsidRPr="000E3984">
        <w:rPr>
          <w:sz w:val="28"/>
          <w:szCs w:val="28"/>
        </w:rPr>
        <w:t xml:space="preserve">  округе, они приступили к топографическим работам</w:t>
      </w:r>
      <w:r w:rsidRPr="000E3984">
        <w:rPr>
          <w:rStyle w:val="a7"/>
          <w:sz w:val="28"/>
          <w:szCs w:val="28"/>
        </w:rPr>
        <w:endnoteReference w:id="4"/>
      </w:r>
      <w:r w:rsidRPr="000E3984">
        <w:rPr>
          <w:sz w:val="28"/>
          <w:szCs w:val="28"/>
        </w:rPr>
        <w:t>.</w:t>
      </w:r>
      <w:r>
        <w:rPr>
          <w:sz w:val="28"/>
          <w:szCs w:val="28"/>
        </w:rPr>
        <w:t xml:space="preserve"> В результате их вычислительных работ были выполнены точные топографические и геологические карты  исследуемой местности.</w:t>
      </w:r>
    </w:p>
    <w:p w:rsidR="006F7ECD" w:rsidRPr="000E3984" w:rsidRDefault="006F7ECD" w:rsidP="00C229CB">
      <w:pPr>
        <w:ind w:firstLine="720"/>
        <w:jc w:val="both"/>
        <w:rPr>
          <w:sz w:val="28"/>
          <w:szCs w:val="28"/>
        </w:rPr>
      </w:pPr>
      <w:r w:rsidRPr="000E3984">
        <w:rPr>
          <w:sz w:val="28"/>
          <w:szCs w:val="28"/>
        </w:rPr>
        <w:t xml:space="preserve">19 октября </w:t>
      </w:r>
      <w:smartTag w:uri="urn:schemas-microsoft-com:office:smarttags" w:element="metricconverter">
        <w:smartTagPr>
          <w:attr w:name="ProductID" w:val="1851 г"/>
        </w:smartTagPr>
        <w:r w:rsidRPr="000E3984">
          <w:rPr>
            <w:sz w:val="28"/>
            <w:szCs w:val="28"/>
          </w:rPr>
          <w:t>1851 г</w:t>
        </w:r>
      </w:smartTag>
      <w:r w:rsidRPr="000E3984">
        <w:rPr>
          <w:sz w:val="28"/>
          <w:szCs w:val="28"/>
        </w:rPr>
        <w:t xml:space="preserve">. по высочайшему повелению Императора, было назначено составить топографические  лесные геологические карты уральских казённых заводов. Во исполнение  такой воли  летом 1853 года  начала действия учёная экспедиция под начальством  горного </w:t>
      </w:r>
      <w:proofErr w:type="spellStart"/>
      <w:proofErr w:type="gramStart"/>
      <w:r w:rsidRPr="000E3984">
        <w:rPr>
          <w:sz w:val="28"/>
          <w:szCs w:val="28"/>
        </w:rPr>
        <w:t>инженер-полковника</w:t>
      </w:r>
      <w:proofErr w:type="spellEnd"/>
      <w:proofErr w:type="gramEnd"/>
      <w:r w:rsidRPr="000E3984">
        <w:rPr>
          <w:sz w:val="28"/>
          <w:szCs w:val="28"/>
        </w:rPr>
        <w:t xml:space="preserve"> Гофмана для занятий по геогнозии и палеонтологии. Экспедиция эта продолжала свои занятия и в </w:t>
      </w:r>
      <w:smartTag w:uri="urn:schemas-microsoft-com:office:smarttags" w:element="metricconverter">
        <w:smartTagPr>
          <w:attr w:name="ProductID" w:val="1854 г"/>
        </w:smartTagPr>
        <w:r w:rsidRPr="000E3984">
          <w:rPr>
            <w:sz w:val="28"/>
            <w:szCs w:val="28"/>
          </w:rPr>
          <w:t>1854 г</w:t>
        </w:r>
      </w:smartTag>
      <w:r w:rsidRPr="000E3984">
        <w:rPr>
          <w:sz w:val="28"/>
          <w:szCs w:val="28"/>
        </w:rPr>
        <w:t xml:space="preserve">. Основанием всей этой операции должны служить  астрономические наблюдения – для астрономического определения известных пунктов  прибыли на Урал в 1855 году командированный из главной </w:t>
      </w:r>
      <w:proofErr w:type="spellStart"/>
      <w:r w:rsidRPr="000E3984">
        <w:rPr>
          <w:sz w:val="28"/>
          <w:szCs w:val="28"/>
        </w:rPr>
        <w:t>пулковской</w:t>
      </w:r>
      <w:proofErr w:type="spellEnd"/>
      <w:r w:rsidRPr="000E3984">
        <w:rPr>
          <w:sz w:val="28"/>
          <w:szCs w:val="28"/>
        </w:rPr>
        <w:t xml:space="preserve"> обсерватории астроном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Деллен</w:t>
      </w:r>
      <w:proofErr w:type="spellEnd"/>
      <w:r w:rsidRPr="000E3984">
        <w:rPr>
          <w:sz w:val="28"/>
          <w:szCs w:val="28"/>
        </w:rPr>
        <w:t xml:space="preserve">. 4 мая 1856  главный  начальник горных заводов Уральского хребта отправил прошение  вятскому губернатору: </w:t>
      </w:r>
      <w:proofErr w:type="gramStart"/>
      <w:r w:rsidRPr="000E3984">
        <w:rPr>
          <w:sz w:val="28"/>
          <w:szCs w:val="28"/>
        </w:rPr>
        <w:t xml:space="preserve">«Прошу сделать распоряжение, чтобы  чинам означенной экспедиции, когда они будут действовать в Вятской </w:t>
      </w:r>
      <w:r w:rsidRPr="000E3984">
        <w:rPr>
          <w:sz w:val="28"/>
          <w:szCs w:val="28"/>
        </w:rPr>
        <w:lastRenderedPageBreak/>
        <w:t>губернии, оказываемо было со стороны  гражданского начальства надлежащее содействие к успешному выполнению порученного им дела, им были отведены  в деревнях квартиры</w:t>
      </w:r>
      <w:r w:rsidRPr="000E3984">
        <w:rPr>
          <w:rStyle w:val="a7"/>
          <w:sz w:val="28"/>
          <w:szCs w:val="28"/>
        </w:rPr>
        <w:endnoteReference w:id="5"/>
      </w:r>
      <w:r w:rsidRPr="000E39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E3984">
        <w:rPr>
          <w:sz w:val="28"/>
          <w:szCs w:val="28"/>
        </w:rPr>
        <w:t xml:space="preserve">В Вятскую губернию астрономы </w:t>
      </w:r>
      <w:proofErr w:type="spellStart"/>
      <w:r w:rsidRPr="000E3984">
        <w:rPr>
          <w:sz w:val="28"/>
          <w:szCs w:val="28"/>
        </w:rPr>
        <w:t>Деллен</w:t>
      </w:r>
      <w:proofErr w:type="spellEnd"/>
      <w:r w:rsidRPr="000E3984">
        <w:rPr>
          <w:sz w:val="28"/>
          <w:szCs w:val="28"/>
        </w:rPr>
        <w:t xml:space="preserve"> и его помощник кандидат </w:t>
      </w:r>
      <w:proofErr w:type="spellStart"/>
      <w:r w:rsidRPr="000E3984">
        <w:rPr>
          <w:sz w:val="28"/>
          <w:szCs w:val="28"/>
        </w:rPr>
        <w:t>Гибнер</w:t>
      </w:r>
      <w:proofErr w:type="spellEnd"/>
      <w:r w:rsidRPr="000E3984">
        <w:rPr>
          <w:sz w:val="28"/>
          <w:szCs w:val="28"/>
        </w:rPr>
        <w:t xml:space="preserve"> прибыли летом  </w:t>
      </w:r>
      <w:smartTag w:uri="urn:schemas-microsoft-com:office:smarttags" w:element="metricconverter">
        <w:smartTagPr>
          <w:attr w:name="ProductID" w:val="1856 г"/>
        </w:smartTagPr>
        <w:r w:rsidRPr="000E3984">
          <w:rPr>
            <w:sz w:val="28"/>
            <w:szCs w:val="28"/>
          </w:rPr>
          <w:t>1856 г</w:t>
        </w:r>
      </w:smartTag>
      <w:r w:rsidRPr="000E3984">
        <w:rPr>
          <w:sz w:val="28"/>
          <w:szCs w:val="28"/>
        </w:rPr>
        <w:t xml:space="preserve">. Со стороны местных градоначальников  было оказано надлежащее </w:t>
      </w:r>
      <w:proofErr w:type="spellStart"/>
      <w:r w:rsidRPr="000E3984">
        <w:rPr>
          <w:sz w:val="28"/>
          <w:szCs w:val="28"/>
        </w:rPr>
        <w:t>вспомоществавание</w:t>
      </w:r>
      <w:proofErr w:type="spellEnd"/>
      <w:r w:rsidRPr="000E3984">
        <w:rPr>
          <w:sz w:val="28"/>
          <w:szCs w:val="28"/>
        </w:rPr>
        <w:t xml:space="preserve"> и содействие</w:t>
      </w:r>
      <w:r w:rsidRPr="000E3984">
        <w:rPr>
          <w:rStyle w:val="a7"/>
          <w:sz w:val="28"/>
          <w:szCs w:val="28"/>
        </w:rPr>
        <w:endnoteReference w:id="6"/>
      </w:r>
      <w:r w:rsidRPr="000E3984">
        <w:rPr>
          <w:sz w:val="28"/>
          <w:szCs w:val="28"/>
        </w:rPr>
        <w:t>.</w:t>
      </w:r>
      <w:proofErr w:type="gramEnd"/>
    </w:p>
    <w:p w:rsidR="006F7ECD" w:rsidRPr="000E3984" w:rsidRDefault="006F7ECD" w:rsidP="00C229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губернские власти обеспечивали иностранных учёных-инженеров  паспортами на проживание в губернии, содействовали в решении материальных вопросов, способствуя, тем самым, успешным проведениям научных исследований.</w:t>
      </w:r>
    </w:p>
    <w:p w:rsidR="008E5E12" w:rsidRDefault="006F7ECD" w:rsidP="008E5E1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Немало иностранных подданных-специалистов проживало и работало в губернском центре: с</w:t>
      </w:r>
      <w:r w:rsidRPr="000E3984">
        <w:rPr>
          <w:sz w:val="28"/>
          <w:szCs w:val="28"/>
        </w:rPr>
        <w:t>т</w:t>
      </w:r>
      <w:r>
        <w:rPr>
          <w:sz w:val="28"/>
          <w:szCs w:val="28"/>
        </w:rPr>
        <w:t>арший ч</w:t>
      </w:r>
      <w:r w:rsidRPr="000E3984">
        <w:rPr>
          <w:sz w:val="28"/>
          <w:szCs w:val="28"/>
        </w:rPr>
        <w:t xml:space="preserve">иновник особых поручений при губернаторе  Михаил </w:t>
      </w:r>
      <w:proofErr w:type="spellStart"/>
      <w:r w:rsidRPr="000E3984">
        <w:rPr>
          <w:sz w:val="28"/>
          <w:szCs w:val="28"/>
        </w:rPr>
        <w:t>Густавович</w:t>
      </w:r>
      <w:proofErr w:type="spellEnd"/>
      <w:r w:rsidRPr="000E3984">
        <w:rPr>
          <w:sz w:val="28"/>
          <w:szCs w:val="28"/>
        </w:rPr>
        <w:t xml:space="preserve"> Сундстрем, мл</w:t>
      </w:r>
      <w:r>
        <w:rPr>
          <w:sz w:val="28"/>
          <w:szCs w:val="28"/>
        </w:rPr>
        <w:t>адший</w:t>
      </w:r>
      <w:r w:rsidRPr="000E39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коллежский </w:t>
      </w:r>
      <w:r w:rsidRPr="000E3984">
        <w:rPr>
          <w:sz w:val="28"/>
          <w:szCs w:val="28"/>
        </w:rPr>
        <w:t>секр</w:t>
      </w:r>
      <w:r>
        <w:rPr>
          <w:sz w:val="28"/>
          <w:szCs w:val="28"/>
        </w:rPr>
        <w:t>етарь</w:t>
      </w:r>
      <w:r w:rsidRPr="000E3984">
        <w:rPr>
          <w:sz w:val="28"/>
          <w:szCs w:val="28"/>
        </w:rPr>
        <w:t xml:space="preserve"> </w:t>
      </w:r>
      <w:proofErr w:type="spellStart"/>
      <w:r w:rsidRPr="000E3984">
        <w:rPr>
          <w:sz w:val="28"/>
          <w:szCs w:val="28"/>
        </w:rPr>
        <w:t>Менандр</w:t>
      </w:r>
      <w:proofErr w:type="spellEnd"/>
      <w:r w:rsidRPr="000E3984">
        <w:rPr>
          <w:sz w:val="28"/>
          <w:szCs w:val="28"/>
        </w:rPr>
        <w:t xml:space="preserve"> Венедиктович  </w:t>
      </w:r>
      <w:proofErr w:type="spellStart"/>
      <w:r w:rsidRPr="000E3984">
        <w:rPr>
          <w:sz w:val="28"/>
          <w:szCs w:val="28"/>
        </w:rPr>
        <w:t>Менандер</w:t>
      </w:r>
      <w:proofErr w:type="spellEnd"/>
      <w:r w:rsidRPr="000E3984">
        <w:rPr>
          <w:rStyle w:val="a7"/>
          <w:sz w:val="28"/>
          <w:szCs w:val="28"/>
        </w:rPr>
        <w:endnoteReference w:id="7"/>
      </w:r>
      <w:r>
        <w:rPr>
          <w:sz w:val="28"/>
          <w:szCs w:val="28"/>
        </w:rPr>
        <w:t>; ф</w:t>
      </w:r>
      <w:r w:rsidRPr="000E3984">
        <w:rPr>
          <w:sz w:val="28"/>
          <w:szCs w:val="28"/>
        </w:rPr>
        <w:t xml:space="preserve">армацевт – Юлий </w:t>
      </w:r>
      <w:r>
        <w:rPr>
          <w:sz w:val="28"/>
          <w:szCs w:val="28"/>
        </w:rPr>
        <w:t>П</w:t>
      </w:r>
      <w:r w:rsidRPr="000E3984">
        <w:rPr>
          <w:sz w:val="28"/>
          <w:szCs w:val="28"/>
        </w:rPr>
        <w:t>етрович  Фабер</w:t>
      </w:r>
      <w:r w:rsidRPr="000E3984">
        <w:rPr>
          <w:rStyle w:val="a7"/>
          <w:sz w:val="28"/>
          <w:szCs w:val="28"/>
        </w:rPr>
        <w:endnoteReference w:id="8"/>
      </w:r>
      <w:r>
        <w:rPr>
          <w:sz w:val="28"/>
          <w:szCs w:val="28"/>
        </w:rPr>
        <w:t>; с</w:t>
      </w:r>
      <w:r w:rsidRPr="000E3984">
        <w:rPr>
          <w:sz w:val="28"/>
          <w:szCs w:val="28"/>
        </w:rPr>
        <w:t>тарший помощник контролера в вятском отд</w:t>
      </w:r>
      <w:r>
        <w:rPr>
          <w:sz w:val="28"/>
          <w:szCs w:val="28"/>
        </w:rPr>
        <w:t>елении</w:t>
      </w:r>
      <w:r w:rsidRPr="000E3984">
        <w:rPr>
          <w:sz w:val="28"/>
          <w:szCs w:val="28"/>
        </w:rPr>
        <w:t xml:space="preserve"> Госбанка </w:t>
      </w:r>
      <w:r w:rsidR="00AA7480">
        <w:rPr>
          <w:sz w:val="28"/>
          <w:szCs w:val="28"/>
        </w:rPr>
        <w:t>–</w:t>
      </w:r>
      <w:r w:rsidRPr="000E3984">
        <w:rPr>
          <w:sz w:val="28"/>
          <w:szCs w:val="28"/>
        </w:rPr>
        <w:t xml:space="preserve"> Иван Е</w:t>
      </w:r>
      <w:r>
        <w:rPr>
          <w:sz w:val="28"/>
          <w:szCs w:val="28"/>
        </w:rPr>
        <w:t xml:space="preserve">горович </w:t>
      </w:r>
      <w:proofErr w:type="spellStart"/>
      <w:r w:rsidRPr="000E3984">
        <w:rPr>
          <w:sz w:val="28"/>
          <w:szCs w:val="28"/>
        </w:rPr>
        <w:t>Тарнани</w:t>
      </w:r>
      <w:proofErr w:type="spellEnd"/>
      <w:r w:rsidRPr="000E3984">
        <w:rPr>
          <w:rStyle w:val="a7"/>
          <w:sz w:val="28"/>
          <w:szCs w:val="28"/>
        </w:rPr>
        <w:endnoteReference w:id="9"/>
      </w:r>
      <w:r w:rsidRPr="000E3984">
        <w:rPr>
          <w:sz w:val="28"/>
          <w:szCs w:val="28"/>
        </w:rPr>
        <w:t>.</w:t>
      </w:r>
      <w:r>
        <w:rPr>
          <w:sz w:val="28"/>
          <w:szCs w:val="28"/>
        </w:rPr>
        <w:t xml:space="preserve"> В у</w:t>
      </w:r>
      <w:r w:rsidRPr="000E3984">
        <w:rPr>
          <w:sz w:val="28"/>
          <w:szCs w:val="28"/>
        </w:rPr>
        <w:t>правлени</w:t>
      </w:r>
      <w:r>
        <w:rPr>
          <w:sz w:val="28"/>
          <w:szCs w:val="28"/>
        </w:rPr>
        <w:t>и государственным имуществом: з</w:t>
      </w:r>
      <w:r w:rsidRPr="000E3984">
        <w:rPr>
          <w:sz w:val="28"/>
          <w:szCs w:val="28"/>
        </w:rPr>
        <w:t xml:space="preserve">емлемер </w:t>
      </w:r>
      <w:proofErr w:type="spellStart"/>
      <w:r w:rsidRPr="000E3984">
        <w:rPr>
          <w:sz w:val="28"/>
          <w:szCs w:val="28"/>
        </w:rPr>
        <w:t>Ионас</w:t>
      </w:r>
      <w:proofErr w:type="spellEnd"/>
      <w:r w:rsidRPr="000E398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E3984">
        <w:rPr>
          <w:sz w:val="28"/>
          <w:szCs w:val="28"/>
        </w:rPr>
        <w:t xml:space="preserve">енедикт </w:t>
      </w:r>
      <w:proofErr w:type="spellStart"/>
      <w:r w:rsidRPr="000E3984">
        <w:rPr>
          <w:sz w:val="28"/>
          <w:szCs w:val="28"/>
        </w:rPr>
        <w:t>Менандер</w:t>
      </w:r>
      <w:proofErr w:type="spellEnd"/>
      <w:r w:rsidRPr="000E3984">
        <w:rPr>
          <w:rStyle w:val="a7"/>
          <w:sz w:val="28"/>
          <w:szCs w:val="28"/>
        </w:rPr>
        <w:endnoteReference w:id="10"/>
      </w:r>
      <w:r>
        <w:rPr>
          <w:sz w:val="28"/>
          <w:szCs w:val="28"/>
        </w:rPr>
        <w:t>; п</w:t>
      </w:r>
      <w:r w:rsidRPr="000E3984">
        <w:rPr>
          <w:sz w:val="28"/>
          <w:szCs w:val="28"/>
        </w:rPr>
        <w:t>редседатель Вятского суда, действительный ст</w:t>
      </w:r>
      <w:r>
        <w:rPr>
          <w:sz w:val="28"/>
          <w:szCs w:val="28"/>
        </w:rPr>
        <w:t>атский</w:t>
      </w:r>
      <w:r w:rsidRPr="000E3984">
        <w:rPr>
          <w:sz w:val="28"/>
          <w:szCs w:val="28"/>
        </w:rPr>
        <w:t xml:space="preserve"> советник Рудольф  Павлович  </w:t>
      </w:r>
      <w:proofErr w:type="spellStart"/>
      <w:r w:rsidRPr="000E3984">
        <w:rPr>
          <w:sz w:val="28"/>
          <w:szCs w:val="28"/>
        </w:rPr>
        <w:t>Ренненкампф</w:t>
      </w:r>
      <w:proofErr w:type="spellEnd"/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члены суда </w:t>
      </w:r>
      <w:r w:rsidR="00AA7480">
        <w:rPr>
          <w:sz w:val="28"/>
          <w:szCs w:val="28"/>
        </w:rPr>
        <w:t>–</w:t>
      </w:r>
      <w:r w:rsidRPr="000E3984">
        <w:rPr>
          <w:sz w:val="28"/>
          <w:szCs w:val="28"/>
        </w:rPr>
        <w:t xml:space="preserve"> </w:t>
      </w:r>
      <w:proofErr w:type="spellStart"/>
      <w:r w:rsidRPr="000E3984">
        <w:rPr>
          <w:sz w:val="28"/>
          <w:szCs w:val="28"/>
        </w:rPr>
        <w:t>Владмимир</w:t>
      </w:r>
      <w:proofErr w:type="spellEnd"/>
      <w:r w:rsidRPr="000E3984">
        <w:rPr>
          <w:sz w:val="28"/>
          <w:szCs w:val="28"/>
        </w:rPr>
        <w:t xml:space="preserve"> </w:t>
      </w:r>
      <w:proofErr w:type="spellStart"/>
      <w:r w:rsidRPr="000E3984">
        <w:rPr>
          <w:sz w:val="28"/>
          <w:szCs w:val="28"/>
        </w:rPr>
        <w:t>Францевич</w:t>
      </w:r>
      <w:proofErr w:type="spellEnd"/>
      <w:r w:rsidRPr="000E3984">
        <w:rPr>
          <w:sz w:val="28"/>
          <w:szCs w:val="28"/>
        </w:rPr>
        <w:t xml:space="preserve"> </w:t>
      </w:r>
      <w:proofErr w:type="spellStart"/>
      <w:r w:rsidRPr="000E3984">
        <w:rPr>
          <w:sz w:val="28"/>
          <w:szCs w:val="28"/>
        </w:rPr>
        <w:t>Буссе</w:t>
      </w:r>
      <w:proofErr w:type="spellEnd"/>
      <w:r w:rsidRPr="000E398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E3984">
        <w:rPr>
          <w:sz w:val="28"/>
          <w:szCs w:val="28"/>
        </w:rPr>
        <w:t>кол</w:t>
      </w:r>
      <w:r>
        <w:rPr>
          <w:sz w:val="28"/>
          <w:szCs w:val="28"/>
        </w:rPr>
        <w:t xml:space="preserve">лежский </w:t>
      </w:r>
      <w:proofErr w:type="spellStart"/>
      <w:r>
        <w:rPr>
          <w:sz w:val="28"/>
          <w:szCs w:val="28"/>
        </w:rPr>
        <w:t>а</w:t>
      </w:r>
      <w:r w:rsidRPr="000E3984">
        <w:rPr>
          <w:sz w:val="28"/>
          <w:szCs w:val="28"/>
        </w:rPr>
        <w:t>сс</w:t>
      </w:r>
      <w:r>
        <w:rPr>
          <w:sz w:val="28"/>
          <w:szCs w:val="28"/>
        </w:rPr>
        <w:t>ессор</w:t>
      </w:r>
      <w:proofErr w:type="spellEnd"/>
      <w:r w:rsidRPr="000E3984">
        <w:rPr>
          <w:sz w:val="28"/>
          <w:szCs w:val="28"/>
        </w:rPr>
        <w:t xml:space="preserve"> </w:t>
      </w:r>
      <w:proofErr w:type="spellStart"/>
      <w:r w:rsidRPr="000E3984">
        <w:rPr>
          <w:sz w:val="28"/>
          <w:szCs w:val="28"/>
        </w:rPr>
        <w:t>Венцеслав</w:t>
      </w:r>
      <w:proofErr w:type="spellEnd"/>
      <w:r w:rsidRPr="000E3984">
        <w:rPr>
          <w:sz w:val="28"/>
          <w:szCs w:val="28"/>
        </w:rPr>
        <w:t xml:space="preserve"> </w:t>
      </w:r>
      <w:proofErr w:type="spellStart"/>
      <w:r w:rsidRPr="000E3984">
        <w:rPr>
          <w:sz w:val="28"/>
          <w:szCs w:val="28"/>
        </w:rPr>
        <w:t>Фидельевич</w:t>
      </w:r>
      <w:proofErr w:type="spellEnd"/>
      <w:r w:rsidRPr="000E3984">
        <w:rPr>
          <w:sz w:val="28"/>
          <w:szCs w:val="28"/>
        </w:rPr>
        <w:t xml:space="preserve"> </w:t>
      </w:r>
      <w:proofErr w:type="spellStart"/>
      <w:r w:rsidRPr="000E3984">
        <w:rPr>
          <w:sz w:val="28"/>
          <w:szCs w:val="28"/>
        </w:rPr>
        <w:t>Бруннер</w:t>
      </w:r>
      <w:proofErr w:type="spellEnd"/>
      <w:r w:rsidRPr="000E3984">
        <w:rPr>
          <w:sz w:val="28"/>
          <w:szCs w:val="28"/>
        </w:rPr>
        <w:t xml:space="preserve">, Карл Христофорович </w:t>
      </w:r>
      <w:proofErr w:type="spellStart"/>
      <w:r w:rsidRPr="000E3984">
        <w:rPr>
          <w:sz w:val="28"/>
          <w:szCs w:val="28"/>
        </w:rPr>
        <w:t>Баум</w:t>
      </w:r>
      <w:proofErr w:type="spellEnd"/>
      <w:r>
        <w:rPr>
          <w:sz w:val="28"/>
          <w:szCs w:val="28"/>
        </w:rPr>
        <w:t>;</w:t>
      </w:r>
      <w:r w:rsidRPr="000E398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E3984">
        <w:rPr>
          <w:sz w:val="28"/>
          <w:szCs w:val="28"/>
        </w:rPr>
        <w:t>удебны</w:t>
      </w:r>
      <w:r>
        <w:rPr>
          <w:sz w:val="28"/>
          <w:szCs w:val="28"/>
        </w:rPr>
        <w:t>е</w:t>
      </w:r>
      <w:r w:rsidRPr="000E3984">
        <w:rPr>
          <w:sz w:val="28"/>
          <w:szCs w:val="28"/>
        </w:rPr>
        <w:t xml:space="preserve"> следователи по особо важным делам по </w:t>
      </w:r>
      <w:r>
        <w:rPr>
          <w:sz w:val="28"/>
          <w:szCs w:val="28"/>
        </w:rPr>
        <w:t>В</w:t>
      </w:r>
      <w:r w:rsidRPr="000E3984">
        <w:rPr>
          <w:sz w:val="28"/>
          <w:szCs w:val="28"/>
        </w:rPr>
        <w:t xml:space="preserve">ятскому уезду – барон Константин </w:t>
      </w:r>
      <w:proofErr w:type="spellStart"/>
      <w:r w:rsidRPr="000E3984">
        <w:rPr>
          <w:sz w:val="28"/>
          <w:szCs w:val="28"/>
        </w:rPr>
        <w:t>А</w:t>
      </w:r>
      <w:r>
        <w:rPr>
          <w:sz w:val="28"/>
          <w:szCs w:val="28"/>
        </w:rPr>
        <w:t>пполонович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Рауш</w:t>
      </w:r>
      <w:proofErr w:type="spellEnd"/>
      <w:r>
        <w:rPr>
          <w:sz w:val="28"/>
          <w:szCs w:val="28"/>
        </w:rPr>
        <w:t xml:space="preserve"> Фон </w:t>
      </w:r>
      <w:proofErr w:type="spellStart"/>
      <w:r>
        <w:rPr>
          <w:sz w:val="28"/>
          <w:szCs w:val="28"/>
        </w:rPr>
        <w:t>Траубенберг</w:t>
      </w:r>
      <w:proofErr w:type="spellEnd"/>
      <w:r w:rsidRPr="000E3984">
        <w:rPr>
          <w:sz w:val="28"/>
          <w:szCs w:val="28"/>
        </w:rPr>
        <w:t xml:space="preserve">, по </w:t>
      </w:r>
      <w:proofErr w:type="spellStart"/>
      <w:r>
        <w:rPr>
          <w:sz w:val="28"/>
          <w:szCs w:val="28"/>
        </w:rPr>
        <w:t>Я</w:t>
      </w:r>
      <w:r w:rsidRPr="000E3984">
        <w:rPr>
          <w:sz w:val="28"/>
          <w:szCs w:val="28"/>
        </w:rPr>
        <w:t>ранскому</w:t>
      </w:r>
      <w:proofErr w:type="spellEnd"/>
      <w:r w:rsidRPr="000E3984">
        <w:rPr>
          <w:sz w:val="28"/>
          <w:szCs w:val="28"/>
        </w:rPr>
        <w:t xml:space="preserve"> уезду – Людвиг Михайлович </w:t>
      </w:r>
      <w:proofErr w:type="spellStart"/>
      <w:r w:rsidRPr="000E3984">
        <w:rPr>
          <w:sz w:val="28"/>
          <w:szCs w:val="28"/>
        </w:rPr>
        <w:t>Волянский</w:t>
      </w:r>
      <w:proofErr w:type="spellEnd"/>
      <w:r w:rsidRPr="000E3984">
        <w:rPr>
          <w:sz w:val="28"/>
          <w:szCs w:val="28"/>
        </w:rPr>
        <w:t xml:space="preserve">, </w:t>
      </w:r>
      <w:proofErr w:type="spellStart"/>
      <w:r w:rsidRPr="000E3984">
        <w:rPr>
          <w:sz w:val="28"/>
          <w:szCs w:val="28"/>
        </w:rPr>
        <w:t>Леонт</w:t>
      </w:r>
      <w:proofErr w:type="spellEnd"/>
      <w:r w:rsidRPr="000E3984">
        <w:rPr>
          <w:sz w:val="28"/>
          <w:szCs w:val="28"/>
        </w:rPr>
        <w:t xml:space="preserve"> </w:t>
      </w:r>
      <w:proofErr w:type="spellStart"/>
      <w:r w:rsidRPr="000E3984">
        <w:rPr>
          <w:sz w:val="28"/>
          <w:szCs w:val="28"/>
        </w:rPr>
        <w:t>Антипович</w:t>
      </w:r>
      <w:proofErr w:type="spellEnd"/>
      <w:r w:rsidRPr="000E3984">
        <w:rPr>
          <w:sz w:val="28"/>
          <w:szCs w:val="28"/>
        </w:rPr>
        <w:t xml:space="preserve">  </w:t>
      </w:r>
      <w:proofErr w:type="spellStart"/>
      <w:r w:rsidRPr="000E3984">
        <w:rPr>
          <w:sz w:val="28"/>
          <w:szCs w:val="28"/>
        </w:rPr>
        <w:t>Нордкевич</w:t>
      </w:r>
      <w:proofErr w:type="spellEnd"/>
      <w:r w:rsidRPr="000E3984">
        <w:rPr>
          <w:sz w:val="28"/>
          <w:szCs w:val="28"/>
        </w:rPr>
        <w:t xml:space="preserve"> Иодко</w:t>
      </w:r>
      <w:r w:rsidRPr="000E3984">
        <w:rPr>
          <w:rStyle w:val="a7"/>
          <w:sz w:val="28"/>
          <w:szCs w:val="28"/>
        </w:rPr>
        <w:endnoteReference w:id="11"/>
      </w:r>
      <w:r>
        <w:rPr>
          <w:sz w:val="28"/>
          <w:szCs w:val="28"/>
        </w:rPr>
        <w:t>; п</w:t>
      </w:r>
      <w:r w:rsidRPr="000E3984">
        <w:rPr>
          <w:sz w:val="28"/>
          <w:szCs w:val="28"/>
        </w:rPr>
        <w:t xml:space="preserve">рисяжные поверенные – кандидат  прав </w:t>
      </w:r>
      <w:proofErr w:type="spellStart"/>
      <w:r w:rsidRPr="000E3984">
        <w:rPr>
          <w:sz w:val="28"/>
          <w:szCs w:val="28"/>
        </w:rPr>
        <w:t>Оска</w:t>
      </w:r>
      <w:r>
        <w:rPr>
          <w:sz w:val="28"/>
          <w:szCs w:val="28"/>
        </w:rPr>
        <w:t>ль</w:t>
      </w:r>
      <w:r w:rsidRPr="000E3984">
        <w:rPr>
          <w:sz w:val="28"/>
          <w:szCs w:val="28"/>
        </w:rPr>
        <w:t>д</w:t>
      </w:r>
      <w:proofErr w:type="spellEnd"/>
      <w:r w:rsidRPr="000E3984">
        <w:rPr>
          <w:sz w:val="28"/>
          <w:szCs w:val="28"/>
        </w:rPr>
        <w:t xml:space="preserve"> Эдуардович </w:t>
      </w:r>
      <w:proofErr w:type="spellStart"/>
      <w:r w:rsidRPr="000E3984">
        <w:rPr>
          <w:sz w:val="28"/>
          <w:szCs w:val="28"/>
        </w:rPr>
        <w:t>Авейде</w:t>
      </w:r>
      <w:proofErr w:type="spellEnd"/>
      <w:r w:rsidRPr="000E3984">
        <w:rPr>
          <w:rStyle w:val="a7"/>
          <w:sz w:val="28"/>
          <w:szCs w:val="28"/>
        </w:rPr>
        <w:endnoteReference w:id="12"/>
      </w:r>
      <w:r>
        <w:rPr>
          <w:sz w:val="28"/>
          <w:szCs w:val="28"/>
        </w:rPr>
        <w:t>; в</w:t>
      </w:r>
      <w:r w:rsidRPr="000E3984">
        <w:rPr>
          <w:sz w:val="28"/>
          <w:szCs w:val="28"/>
        </w:rPr>
        <w:t>рач ремесленного приюта благотворительного общества -  Роберт  Осипович  Готвальд</w:t>
      </w:r>
      <w:r w:rsidRPr="000E3984">
        <w:rPr>
          <w:rStyle w:val="a7"/>
          <w:sz w:val="28"/>
          <w:szCs w:val="28"/>
        </w:rPr>
        <w:endnoteReference w:id="13"/>
      </w:r>
      <w:r w:rsidRPr="000E3984">
        <w:rPr>
          <w:sz w:val="28"/>
          <w:szCs w:val="28"/>
        </w:rPr>
        <w:t>.</w:t>
      </w:r>
      <w:r w:rsidR="008E5E12">
        <w:rPr>
          <w:sz w:val="28"/>
          <w:szCs w:val="28"/>
        </w:rPr>
        <w:t xml:space="preserve"> </w:t>
      </w:r>
      <w:proofErr w:type="gramEnd"/>
    </w:p>
    <w:p w:rsidR="00BC15CB" w:rsidRDefault="008E5E12" w:rsidP="00D4158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Таким образом, и</w:t>
      </w:r>
      <w:r w:rsidRPr="008E5E12">
        <w:rPr>
          <w:sz w:val="28"/>
          <w:szCs w:val="28"/>
        </w:rPr>
        <w:t xml:space="preserve">ностранные подданные были задействованы в </w:t>
      </w:r>
      <w:r>
        <w:rPr>
          <w:sz w:val="28"/>
          <w:szCs w:val="28"/>
        </w:rPr>
        <w:t xml:space="preserve">разных отраслях </w:t>
      </w:r>
      <w:r w:rsidRPr="008E5E12">
        <w:rPr>
          <w:sz w:val="28"/>
          <w:szCs w:val="28"/>
        </w:rPr>
        <w:t>Вятской губернии</w:t>
      </w:r>
      <w:r>
        <w:rPr>
          <w:sz w:val="28"/>
          <w:szCs w:val="28"/>
        </w:rPr>
        <w:t>: и</w:t>
      </w:r>
      <w:r w:rsidRPr="008E5E12">
        <w:rPr>
          <w:sz w:val="28"/>
          <w:szCs w:val="28"/>
        </w:rPr>
        <w:t xml:space="preserve">х направляли на заводы, </w:t>
      </w:r>
      <w:r>
        <w:rPr>
          <w:sz w:val="28"/>
          <w:szCs w:val="28"/>
        </w:rPr>
        <w:t>в медицинские, судебные и иные учреждения, гд</w:t>
      </w:r>
      <w:r w:rsidRPr="008E5E12">
        <w:rPr>
          <w:sz w:val="28"/>
          <w:szCs w:val="28"/>
        </w:rPr>
        <w:t xml:space="preserve">е были востребованы соответствующие </w:t>
      </w:r>
      <w:r>
        <w:rPr>
          <w:sz w:val="28"/>
          <w:szCs w:val="28"/>
        </w:rPr>
        <w:t>специалисты.</w:t>
      </w:r>
      <w:proofErr w:type="gramEnd"/>
    </w:p>
    <w:p w:rsidR="008E5E12" w:rsidRDefault="008E5E12" w:rsidP="00D41584">
      <w:pPr>
        <w:ind w:firstLine="720"/>
        <w:jc w:val="both"/>
        <w:rPr>
          <w:sz w:val="28"/>
          <w:szCs w:val="28"/>
        </w:rPr>
      </w:pPr>
    </w:p>
    <w:p w:rsidR="008E5E12" w:rsidRDefault="008E5E12" w:rsidP="00D41584">
      <w:pPr>
        <w:ind w:firstLine="720"/>
        <w:jc w:val="both"/>
        <w:rPr>
          <w:sz w:val="28"/>
          <w:szCs w:val="28"/>
        </w:rPr>
      </w:pPr>
    </w:p>
    <w:p w:rsidR="008E5E12" w:rsidRDefault="008E5E12" w:rsidP="00D41584">
      <w:pPr>
        <w:ind w:firstLine="720"/>
        <w:jc w:val="both"/>
        <w:rPr>
          <w:sz w:val="28"/>
          <w:szCs w:val="28"/>
        </w:rPr>
      </w:pPr>
    </w:p>
    <w:p w:rsidR="006F7ECD" w:rsidRPr="000E3984" w:rsidRDefault="006F7ECD" w:rsidP="006F7ECD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Источники</w:t>
      </w:r>
    </w:p>
    <w:sectPr w:rsidR="006F7ECD" w:rsidRPr="000E3984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281" w:rsidRDefault="00BA2281">
      <w:r>
        <w:separator/>
      </w:r>
    </w:p>
  </w:endnote>
  <w:endnote w:type="continuationSeparator" w:id="1">
    <w:p w:rsidR="00BA2281" w:rsidRDefault="00BA2281">
      <w:r>
        <w:continuationSeparator/>
      </w:r>
    </w:p>
  </w:endnote>
  <w:endnote w:id="2">
    <w:p w:rsidR="006F7ECD" w:rsidRPr="00B55DF1" w:rsidRDefault="006F7ECD" w:rsidP="00C229CB">
      <w:pPr>
        <w:pStyle w:val="a6"/>
      </w:pPr>
      <w:r w:rsidRPr="00B55DF1">
        <w:rPr>
          <w:rStyle w:val="a7"/>
        </w:rPr>
        <w:endnoteRef/>
      </w:r>
      <w:r w:rsidRPr="00B55DF1">
        <w:t xml:space="preserve"> </w:t>
      </w:r>
      <w:r>
        <w:t>ГАКО, ф</w:t>
      </w:r>
      <w:r w:rsidRPr="00B55DF1">
        <w:t>.582, оп.19а, д.53</w:t>
      </w:r>
      <w:r>
        <w:t>, л. 9.</w:t>
      </w:r>
    </w:p>
  </w:endnote>
  <w:endnote w:id="3">
    <w:p w:rsidR="006F7ECD" w:rsidRDefault="006F7ECD" w:rsidP="00C229CB">
      <w:pPr>
        <w:pStyle w:val="a6"/>
      </w:pPr>
      <w:r>
        <w:rPr>
          <w:rStyle w:val="a7"/>
        </w:rPr>
        <w:endnoteRef/>
      </w:r>
      <w:r>
        <w:t xml:space="preserve"> Там же, </w:t>
      </w:r>
      <w:proofErr w:type="gramStart"/>
      <w:r>
        <w:t>л</w:t>
      </w:r>
      <w:proofErr w:type="gramEnd"/>
      <w:r>
        <w:t>. 12</w:t>
      </w:r>
    </w:p>
  </w:endnote>
  <w:endnote w:id="4">
    <w:p w:rsidR="006F7ECD" w:rsidRDefault="006F7ECD" w:rsidP="00C229CB">
      <w:pPr>
        <w:pStyle w:val="a6"/>
      </w:pPr>
      <w:r>
        <w:rPr>
          <w:rStyle w:val="a7"/>
        </w:rPr>
        <w:endnoteRef/>
      </w:r>
      <w:r>
        <w:t xml:space="preserve"> Там же, </w:t>
      </w:r>
      <w:proofErr w:type="gramStart"/>
      <w:r>
        <w:t>л</w:t>
      </w:r>
      <w:proofErr w:type="gramEnd"/>
      <w:r>
        <w:t>. 30</w:t>
      </w:r>
    </w:p>
  </w:endnote>
  <w:endnote w:id="5">
    <w:p w:rsidR="006F7ECD" w:rsidRDefault="006F7ECD" w:rsidP="00C229CB">
      <w:pPr>
        <w:pStyle w:val="a6"/>
      </w:pPr>
      <w:r>
        <w:rPr>
          <w:rStyle w:val="a7"/>
        </w:rPr>
        <w:endnoteRef/>
      </w:r>
      <w:r>
        <w:t xml:space="preserve"> Там же, </w:t>
      </w:r>
      <w:proofErr w:type="gramStart"/>
      <w:r>
        <w:t>л</w:t>
      </w:r>
      <w:proofErr w:type="gramEnd"/>
      <w:r>
        <w:t>.  15.</w:t>
      </w:r>
    </w:p>
  </w:endnote>
  <w:endnote w:id="6">
    <w:p w:rsidR="006F7ECD" w:rsidRDefault="006F7ECD" w:rsidP="00C229CB">
      <w:pPr>
        <w:pStyle w:val="a6"/>
      </w:pPr>
      <w:r>
        <w:rPr>
          <w:rStyle w:val="a7"/>
        </w:rPr>
        <w:endnoteRef/>
      </w:r>
      <w:r>
        <w:t xml:space="preserve"> Там же, </w:t>
      </w:r>
      <w:proofErr w:type="gramStart"/>
      <w:r>
        <w:t>л</w:t>
      </w:r>
      <w:proofErr w:type="gramEnd"/>
      <w:r>
        <w:t>.  16.</w:t>
      </w:r>
    </w:p>
  </w:endnote>
  <w:endnote w:id="7">
    <w:p w:rsidR="006F7ECD" w:rsidRDefault="006F7ECD" w:rsidP="00D41584">
      <w:pPr>
        <w:pStyle w:val="a6"/>
      </w:pPr>
      <w:r>
        <w:rPr>
          <w:rStyle w:val="a7"/>
        </w:rPr>
        <w:endnoteRef/>
      </w:r>
      <w:r>
        <w:t xml:space="preserve"> Календарь Вятской губернии за </w:t>
      </w:r>
      <w:smartTag w:uri="urn:schemas-microsoft-com:office:smarttags" w:element="metricconverter">
        <w:smartTagPr>
          <w:attr w:name="ProductID" w:val="1881 г"/>
        </w:smartTagPr>
        <w:r>
          <w:t>1881 г</w:t>
        </w:r>
      </w:smartTag>
      <w:r>
        <w:t>. – с. 101.</w:t>
      </w:r>
    </w:p>
  </w:endnote>
  <w:endnote w:id="8">
    <w:p w:rsidR="006F7ECD" w:rsidRDefault="006F7ECD" w:rsidP="00D41584">
      <w:pPr>
        <w:pStyle w:val="a6"/>
      </w:pPr>
      <w:r>
        <w:rPr>
          <w:rStyle w:val="a7"/>
        </w:rPr>
        <w:endnoteRef/>
      </w:r>
      <w:r>
        <w:t xml:space="preserve"> Там же, с. 102.</w:t>
      </w:r>
    </w:p>
  </w:endnote>
  <w:endnote w:id="9">
    <w:p w:rsidR="006F7ECD" w:rsidRDefault="006F7ECD" w:rsidP="00D41584">
      <w:pPr>
        <w:pStyle w:val="a6"/>
      </w:pPr>
      <w:r>
        <w:rPr>
          <w:rStyle w:val="a7"/>
        </w:rPr>
        <w:endnoteRef/>
      </w:r>
      <w:r>
        <w:t xml:space="preserve"> Там же, с. 112.</w:t>
      </w:r>
    </w:p>
  </w:endnote>
  <w:endnote w:id="10">
    <w:p w:rsidR="006F7ECD" w:rsidRDefault="006F7ECD" w:rsidP="00D41584">
      <w:pPr>
        <w:pStyle w:val="a6"/>
      </w:pPr>
      <w:r>
        <w:rPr>
          <w:rStyle w:val="a7"/>
        </w:rPr>
        <w:endnoteRef/>
      </w:r>
      <w:r>
        <w:t xml:space="preserve"> Там же, с.113.</w:t>
      </w:r>
    </w:p>
  </w:endnote>
  <w:endnote w:id="11">
    <w:p w:rsidR="006F7ECD" w:rsidRDefault="006F7ECD" w:rsidP="00D41584">
      <w:pPr>
        <w:pStyle w:val="a6"/>
      </w:pPr>
      <w:r>
        <w:rPr>
          <w:rStyle w:val="a7"/>
        </w:rPr>
        <w:endnoteRef/>
      </w:r>
      <w:r>
        <w:t xml:space="preserve"> Там же, с.117-118.</w:t>
      </w:r>
    </w:p>
  </w:endnote>
  <w:endnote w:id="12">
    <w:p w:rsidR="006F7ECD" w:rsidRDefault="006F7ECD" w:rsidP="00D41584">
      <w:pPr>
        <w:pStyle w:val="a6"/>
      </w:pPr>
      <w:r>
        <w:rPr>
          <w:rStyle w:val="a7"/>
        </w:rPr>
        <w:endnoteRef/>
      </w:r>
      <w:r>
        <w:t xml:space="preserve"> Там же, с.118.</w:t>
      </w:r>
    </w:p>
  </w:endnote>
  <w:endnote w:id="13">
    <w:p w:rsidR="006F7ECD" w:rsidRDefault="006F7ECD" w:rsidP="00D41584">
      <w:pPr>
        <w:pStyle w:val="a6"/>
      </w:pPr>
      <w:r>
        <w:rPr>
          <w:rStyle w:val="a7"/>
        </w:rPr>
        <w:endnoteRef/>
      </w:r>
      <w:r>
        <w:t xml:space="preserve"> Там же, с.129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281" w:rsidRDefault="00BA2281">
      <w:r>
        <w:separator/>
      </w:r>
    </w:p>
  </w:footnote>
  <w:footnote w:type="continuationSeparator" w:id="1">
    <w:p w:rsidR="00BA2281" w:rsidRDefault="00BA22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229CB"/>
    <w:rsid w:val="004E6BE1"/>
    <w:rsid w:val="006F7ECD"/>
    <w:rsid w:val="008E5E12"/>
    <w:rsid w:val="009C52A2"/>
    <w:rsid w:val="00AA7480"/>
    <w:rsid w:val="00BA2281"/>
    <w:rsid w:val="00BC15CB"/>
    <w:rsid w:val="00C229CB"/>
    <w:rsid w:val="00C661E3"/>
    <w:rsid w:val="00D30497"/>
    <w:rsid w:val="00D41584"/>
    <w:rsid w:val="00D8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9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229CB"/>
    <w:rPr>
      <w:sz w:val="20"/>
      <w:szCs w:val="20"/>
    </w:rPr>
  </w:style>
  <w:style w:type="character" w:styleId="a5">
    <w:name w:val="footnote reference"/>
    <w:basedOn w:val="a0"/>
    <w:semiHidden/>
    <w:rsid w:val="00C229CB"/>
    <w:rPr>
      <w:vertAlign w:val="superscript"/>
    </w:rPr>
  </w:style>
  <w:style w:type="character" w:customStyle="1" w:styleId="a4">
    <w:name w:val="Текст сноски Знак"/>
    <w:basedOn w:val="a0"/>
    <w:link w:val="a3"/>
    <w:semiHidden/>
    <w:rsid w:val="00C229CB"/>
    <w:rPr>
      <w:lang w:val="ru-RU" w:eastAsia="ru-RU" w:bidi="ar-SA"/>
    </w:rPr>
  </w:style>
  <w:style w:type="paragraph" w:styleId="a6">
    <w:name w:val="endnote text"/>
    <w:basedOn w:val="a"/>
    <w:semiHidden/>
    <w:rsid w:val="006F7ECD"/>
    <w:rPr>
      <w:sz w:val="20"/>
      <w:szCs w:val="20"/>
    </w:rPr>
  </w:style>
  <w:style w:type="character" w:styleId="a7">
    <w:name w:val="endnote reference"/>
    <w:basedOn w:val="a0"/>
    <w:semiHidden/>
    <w:rsid w:val="006F7E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VSAA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dcterms:created xsi:type="dcterms:W3CDTF">2015-03-14T18:52:00Z</dcterms:created>
  <dcterms:modified xsi:type="dcterms:W3CDTF">2015-03-14T18:52:00Z</dcterms:modified>
</cp:coreProperties>
</file>