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7" w:rsidRDefault="004B49D8" w:rsidP="004B4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9D8">
        <w:rPr>
          <w:rFonts w:ascii="Times New Roman" w:hAnsi="Times New Roman" w:cs="Times New Roman"/>
          <w:b/>
          <w:sz w:val="28"/>
          <w:szCs w:val="28"/>
        </w:rPr>
        <w:t>Формирование общих компетенций в процессе работы над самостоятельной работой по иностранному языку</w:t>
      </w:r>
    </w:p>
    <w:p w:rsidR="004B49D8" w:rsidRDefault="004B49D8" w:rsidP="004B49D8">
      <w:pPr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Автор: Е.А. Ошур, преподаватель иностранного языка</w:t>
      </w:r>
    </w:p>
    <w:p w:rsidR="004B49D8" w:rsidRDefault="004B49D8" w:rsidP="004B49D8">
      <w:pPr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ГОУ СПО Кемеровского профессионально-технического техникума</w:t>
      </w:r>
    </w:p>
    <w:p w:rsidR="004B49D8" w:rsidRDefault="004B49D8" w:rsidP="004B49D8">
      <w:pPr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4B49D8" w:rsidRDefault="004B49D8" w:rsidP="004B49D8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введения ФГОС третьего поколения перед образовательными учреждениями встала серьезная задача воспитания и обучения человека, который после окончания учебного заведения сможет не только ориентироваться в современной жизни, но и будет готов подстраивать эту жизнь под себя. Профессиональное образование направлено, прежде всего, на формирование и развитие общих и профессиональных компетенций. Именно с формированием компетентности будущего специалиста напрямую связано качество профессионального образования, которое обеспечит конкурентоспособность будущего специалиста на рынке труда.</w:t>
      </w:r>
    </w:p>
    <w:p w:rsidR="004B49D8" w:rsidRDefault="004B49D8" w:rsidP="004B49D8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подходов в образовании на сегодняшний день становится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который предполагает перенос акцентов на воспитательную и развивающую функцию образования, на становление в процессе обучения личности будущего специалиста</w:t>
      </w:r>
      <w:r w:rsidR="00755844">
        <w:rPr>
          <w:rFonts w:ascii="Times New Roman" w:hAnsi="Times New Roman"/>
          <w:sz w:val="28"/>
          <w:szCs w:val="28"/>
        </w:rPr>
        <w:t xml:space="preserve">, его гармоничное духовное и нравственное развитие. Обеспечить данные требования обязаны федеральные государственные образовательные стандарты, в которых результаты обучения отражены в перечне общих и профессиональных компетенций.  </w:t>
      </w:r>
    </w:p>
    <w:p w:rsidR="00755844" w:rsidRDefault="004B49D8" w:rsidP="004B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98" w:firstLine="510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В результате освоения дисциплины</w:t>
      </w:r>
      <w:r w:rsidR="00755844">
        <w:rPr>
          <w:rFonts w:ascii="Times New Roman" w:hAnsi="Times New Roman"/>
          <w:sz w:val="28"/>
          <w:szCs w:val="28"/>
        </w:rPr>
        <w:t xml:space="preserve"> ОГСЭ.03 Иностранный язык</w:t>
      </w:r>
      <w:r w:rsidRPr="004B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</w:t>
      </w:r>
      <w:r w:rsidR="00755844">
        <w:rPr>
          <w:rFonts w:ascii="Times New Roman" w:hAnsi="Times New Roman"/>
          <w:sz w:val="28"/>
          <w:szCs w:val="28"/>
        </w:rPr>
        <w:t>ы специальности 23.02.03 Техническое обслуживание и ремонт автомобильного транспорта должны</w:t>
      </w:r>
      <w:r w:rsidRPr="004B5D47">
        <w:rPr>
          <w:rFonts w:ascii="Times New Roman" w:hAnsi="Times New Roman"/>
          <w:sz w:val="28"/>
          <w:szCs w:val="28"/>
        </w:rPr>
        <w:t xml:space="preserve"> </w:t>
      </w:r>
      <w:r w:rsidR="00755844">
        <w:rPr>
          <w:rFonts w:ascii="Times New Roman" w:hAnsi="Times New Roman"/>
          <w:sz w:val="28"/>
          <w:szCs w:val="28"/>
        </w:rPr>
        <w:t xml:space="preserve">овладеть 9 общими компетенциями. </w:t>
      </w:r>
    </w:p>
    <w:p w:rsidR="00755844" w:rsidRDefault="00755844" w:rsidP="004B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98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дисциплины иностранный язык формирование общих компетенций происходит как в рамках аудиторной, так и в рамках внеаудиторной самостоятельной работы. </w:t>
      </w:r>
    </w:p>
    <w:p w:rsidR="00755844" w:rsidRDefault="00755844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Цель самостоятельного из</w:t>
      </w:r>
      <w:r>
        <w:rPr>
          <w:rFonts w:ascii="Times New Roman" w:hAnsi="Times New Roman"/>
          <w:sz w:val="28"/>
          <w:szCs w:val="28"/>
        </w:rPr>
        <w:t>учения дисциплины – совершенствование</w:t>
      </w:r>
      <w:r w:rsidRPr="004B5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ранее полученных </w:t>
      </w:r>
      <w:r w:rsidRPr="004B5D47">
        <w:rPr>
          <w:rFonts w:ascii="Times New Roman" w:hAnsi="Times New Roman"/>
          <w:sz w:val="28"/>
          <w:szCs w:val="28"/>
        </w:rPr>
        <w:t>знаний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47">
        <w:rPr>
          <w:rFonts w:ascii="Times New Roman" w:hAnsi="Times New Roman"/>
          <w:sz w:val="28"/>
          <w:szCs w:val="28"/>
        </w:rPr>
        <w:t xml:space="preserve">практических навыков по дисциплине «Иностранный </w:t>
      </w:r>
      <w:r w:rsidRPr="004B5D47">
        <w:rPr>
          <w:rFonts w:ascii="Times New Roman" w:hAnsi="Times New Roman"/>
          <w:sz w:val="28"/>
          <w:szCs w:val="28"/>
        </w:rPr>
        <w:lastRenderedPageBreak/>
        <w:t>язык». Ее правильная организация позволит более полно ознакомиться с дисциплиной, преодолеть трудности усвоения курса.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5844" w:rsidRDefault="00755844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видами работ по самостоятельной работе студентов в рамках дисциплины «Иностранный язык» являются: выполнение письменного перевода текста, составление монологов и диалогов, создание мультимедийной презентации, создание проектов. </w:t>
      </w:r>
      <w:r w:rsidR="00D04A66">
        <w:rPr>
          <w:rFonts w:ascii="Times New Roman" w:hAnsi="Times New Roman"/>
          <w:sz w:val="28"/>
          <w:szCs w:val="28"/>
        </w:rPr>
        <w:t>Выбор данных видов работ обусловлен, прежде всего, основными требованиями к результатам освоения дисциплины «Иностранный язык»:</w:t>
      </w:r>
    </w:p>
    <w:p w:rsidR="00D04A66" w:rsidRPr="004B5D47" w:rsidRDefault="00D04A66" w:rsidP="00D04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98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b/>
          <w:bCs/>
          <w:sz w:val="28"/>
          <w:szCs w:val="28"/>
        </w:rPr>
        <w:t>уметь</w:t>
      </w:r>
      <w:r w:rsidRPr="004B5D47">
        <w:rPr>
          <w:rFonts w:ascii="Times New Roman" w:hAnsi="Times New Roman"/>
          <w:sz w:val="28"/>
          <w:szCs w:val="28"/>
        </w:rPr>
        <w:t>:</w:t>
      </w:r>
    </w:p>
    <w:p w:rsidR="00D04A66" w:rsidRPr="004B5D47" w:rsidRDefault="00D04A66" w:rsidP="00D04A66">
      <w:pPr>
        <w:numPr>
          <w:ilvl w:val="0"/>
          <w:numId w:val="1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98" w:hanging="284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общаться (письменно и устно) на иностранном языке на профессиональные и повседневные темы;</w:t>
      </w:r>
    </w:p>
    <w:p w:rsidR="00D04A66" w:rsidRPr="004B5D47" w:rsidRDefault="00D04A66" w:rsidP="00D04A66">
      <w:pPr>
        <w:numPr>
          <w:ilvl w:val="0"/>
          <w:numId w:val="1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98" w:hanging="284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D04A66" w:rsidRPr="004B5D47" w:rsidRDefault="00D04A66" w:rsidP="00D04A66">
      <w:pPr>
        <w:numPr>
          <w:ilvl w:val="0"/>
          <w:numId w:val="1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98" w:hanging="284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D04A66" w:rsidRPr="004B5D47" w:rsidRDefault="00D04A66" w:rsidP="00D04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5D47">
        <w:rPr>
          <w:rFonts w:ascii="Times New Roman" w:hAnsi="Times New Roman"/>
          <w:b/>
          <w:bCs/>
          <w:sz w:val="28"/>
          <w:szCs w:val="28"/>
        </w:rPr>
        <w:t>знать</w:t>
      </w:r>
      <w:r w:rsidRPr="004B5D47">
        <w:rPr>
          <w:rFonts w:ascii="Times New Roman" w:hAnsi="Times New Roman"/>
          <w:sz w:val="28"/>
          <w:szCs w:val="28"/>
        </w:rPr>
        <w:t>:</w:t>
      </w:r>
    </w:p>
    <w:p w:rsidR="00D04A66" w:rsidRPr="00AF55CD" w:rsidRDefault="00D04A66" w:rsidP="00D04A66">
      <w:pPr>
        <w:numPr>
          <w:ilvl w:val="0"/>
          <w:numId w:val="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B5D47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D04A66" w:rsidRDefault="00D04A66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ФГОС СПО организация и проведение самостоятельной работы должно сопровождаться методическим обеспечением. Поэтому у каждого преподавателя иностранного языка (как и у преподавателя любой другой дисциплины) должен быть разработаны методические рекомендации и задания по самостоятельной работе студентов. Данные рекомендации содержат, прежде всего, общие положения по каждому из видов самостоятельной работы, а во второй их части содержат задания для выполнения студентами.</w:t>
      </w:r>
    </w:p>
    <w:p w:rsidR="00D04A66" w:rsidRDefault="00D04A66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выполнения самостоятельной работы студентов осуществляется в различных формах: устная представление и защита (диалогов и монологов, проекты, презентации), письменная проверка (переводы текстов), с использованием современных компьютерных  технологий (презентации). </w:t>
      </w:r>
      <w:r>
        <w:rPr>
          <w:rFonts w:ascii="Times New Roman" w:hAnsi="Times New Roman"/>
          <w:sz w:val="28"/>
          <w:szCs w:val="28"/>
        </w:rPr>
        <w:lastRenderedPageBreak/>
        <w:t>Итоговые оценки заносятся в специально отведенный для этого журнал, результаты выполнения в дальнейшем учитываются при проведении промежуточной и итоговой аттестации студентов.</w:t>
      </w:r>
    </w:p>
    <w:p w:rsidR="00D04A66" w:rsidRDefault="00D04A66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хотелось бы отметить, что правильная организация самостоятельной работы студентов позволит сформировать общие компетенции на более высоком уровне, что будет способствовать тому, что будущий специалист будет более </w:t>
      </w:r>
      <w:r w:rsidR="009F1BCA">
        <w:rPr>
          <w:rFonts w:ascii="Times New Roman" w:hAnsi="Times New Roman"/>
          <w:sz w:val="28"/>
          <w:szCs w:val="28"/>
        </w:rPr>
        <w:t>конкурентоспособным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F1BCA">
        <w:rPr>
          <w:rFonts w:ascii="Times New Roman" w:hAnsi="Times New Roman"/>
          <w:sz w:val="28"/>
          <w:szCs w:val="28"/>
        </w:rPr>
        <w:t>современном рынке труда.</w:t>
      </w:r>
    </w:p>
    <w:p w:rsidR="009F1BCA" w:rsidRDefault="009F1BCA" w:rsidP="00755844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9F1BCA" w:rsidRPr="009F1BCA" w:rsidRDefault="009F1BCA" w:rsidP="009F1BCA">
      <w:pPr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9F1BCA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9F1BCA" w:rsidRDefault="009F1BCA" w:rsidP="009F1B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Карцева Е.П. Опыт формирования общих компетенций у студентов за счет ресурсов внеаудиторной работы // Среднее профессиональное образование. 2014. №12. – с. 66-72</w:t>
      </w:r>
    </w:p>
    <w:p w:rsidR="009F1BCA" w:rsidRDefault="009F1BCA" w:rsidP="009F1B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23.02.03 Техническое обслуживание и ремонт автомобильного транспорта </w:t>
      </w:r>
      <w:r w:rsidRPr="0060369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60369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Москва, 2010. </w:t>
      </w:r>
    </w:p>
    <w:p w:rsidR="009F1BCA" w:rsidRPr="009F1BCA" w:rsidRDefault="009F1BCA" w:rsidP="009F1BCA">
      <w:pPr>
        <w:pStyle w:val="a3"/>
        <w:autoSpaceDE w:val="0"/>
        <w:autoSpaceDN w:val="0"/>
        <w:adjustRightInd w:val="0"/>
        <w:spacing w:after="0" w:line="36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p w:rsidR="00755844" w:rsidRDefault="00755844" w:rsidP="004B4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98" w:firstLine="510"/>
        <w:jc w:val="both"/>
        <w:rPr>
          <w:rFonts w:ascii="Times New Roman" w:hAnsi="Times New Roman"/>
          <w:sz w:val="28"/>
          <w:szCs w:val="28"/>
        </w:rPr>
      </w:pPr>
    </w:p>
    <w:p w:rsidR="004B49D8" w:rsidRPr="004B49D8" w:rsidRDefault="004B49D8" w:rsidP="004B49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9D8" w:rsidRPr="004B49D8" w:rsidSect="007558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320"/>
    <w:multiLevelType w:val="hybridMultilevel"/>
    <w:tmpl w:val="8BACC904"/>
    <w:lvl w:ilvl="0" w:tplc="191A7FD8">
      <w:start w:val="1"/>
      <w:numFmt w:val="bullet"/>
      <w:lvlText w:val="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1">
    <w:nsid w:val="08F301EC"/>
    <w:multiLevelType w:val="hybridMultilevel"/>
    <w:tmpl w:val="1CB220F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7E4586"/>
    <w:multiLevelType w:val="hybridMultilevel"/>
    <w:tmpl w:val="D1E283A4"/>
    <w:lvl w:ilvl="0" w:tplc="D83873E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16B03B8"/>
    <w:multiLevelType w:val="hybridMultilevel"/>
    <w:tmpl w:val="D114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D8"/>
    <w:rsid w:val="004B49D8"/>
    <w:rsid w:val="00755844"/>
    <w:rsid w:val="009F1BCA"/>
    <w:rsid w:val="00D04A66"/>
    <w:rsid w:val="00DC10F4"/>
    <w:rsid w:val="00D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4E4A2A-E3B2-45F5-89D6-C120DE32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2015-02-17T13:43:00Z</dcterms:created>
  <dcterms:modified xsi:type="dcterms:W3CDTF">2015-02-17T13:43:00Z</dcterms:modified>
</cp:coreProperties>
</file>