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над копией картины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Жюля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Дюпре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B507B">
        <w:rPr>
          <w:rFonts w:ascii="Times New Roman" w:hAnsi="Times New Roman" w:cs="Times New Roman"/>
          <w:sz w:val="32"/>
          <w:szCs w:val="32"/>
        </w:rPr>
        <w:t>Крестьянка</w:t>
      </w:r>
      <w:r>
        <w:rPr>
          <w:rFonts w:ascii="Times New Roman" w:hAnsi="Times New Roman" w:cs="Times New Roman"/>
          <w:sz w:val="32"/>
          <w:szCs w:val="32"/>
        </w:rPr>
        <w:t xml:space="preserve"> со стадом овец»</w:t>
      </w:r>
    </w:p>
    <w:p w:rsidR="002B507B" w:rsidRDefault="002B507B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2B507B" w:rsidRDefault="002B507B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788441"/>
            <wp:effectExtent l="19050" t="0" r="3175" b="0"/>
            <wp:docPr id="1" name="Рисунок 1" descr="C:\Documents and Settings\Варда\Рабочий стол\183231-69e66-65415140-m750x740-u5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рда\Рабочий стол\183231-69e66-65415140-m750x740-u590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4E7027">
        <w:rPr>
          <w:rFonts w:ascii="Times New Roman" w:hAnsi="Times New Roman" w:cs="Times New Roman"/>
          <w:sz w:val="32"/>
          <w:szCs w:val="32"/>
        </w:rPr>
        <w:t>Обоснование выбора материалов, использованных в данной работе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Для соблюдения классической традиции ведения живописи работа выполнялась на холсте, натянутом на подрамник.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1. Выбор материала холста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Льняное полотно имеет сероватый или желтоватый цвет. Оно обладает наибольшей прочностью и стойкостью к влиянию атмосферной влаги, температурным колебаниям. Волокно льна в меньшей степени способно к структурным изменениям, вызываемым внешними физико-механическими воздействиями, это позволяет льняным тканям сохранять первоначальную фактуру (зернистость), имеющую, в том числе и эстетическое значение. Ткань из льняной пряжи имеет более ровную по толщине нить.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lastRenderedPageBreak/>
        <w:t>Зернистость холста определяется толщиной нити. Разделяют мелкозернистые, среднезернистые и крупнозернистые холсты. Мелкозернистый холст идеален для гладкой тонкослойной живописи. Для пастозной живописи удобнее использовать крупное зерно. И дело здесь даже не в общем восприятии самой работы и фактуры основания. Крупнозернистый хо</w:t>
      </w:r>
      <w:proofErr w:type="gramStart"/>
      <w:r w:rsidRPr="004E7027">
        <w:rPr>
          <w:rFonts w:ascii="Times New Roman" w:hAnsi="Times New Roman" w:cs="Times New Roman"/>
          <w:sz w:val="28"/>
          <w:szCs w:val="28"/>
        </w:rPr>
        <w:t>лст сп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>особен выдерживать нагрузку фактурной живописи без деформации. Для крупноформатных работ следует выбирать хосты большей зернистости, чтобы предупредить возможное провисание из-за тяжести красочного слоя.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В данной работе был выбран среднезернистый льняной холст с ровным плетением; нитями, ровными по длине и ширине, без узлов и торчащих нитей по причине большой нагрузки красочного слоя, нанесённого в пастозной манере.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2. Выбор материала подрамника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При изготовлении современных подрамников используется древесина сосны мелкослойная, краевая без сучков. Сосновые подрамники обладают сравнительно высокой прочностью, малой гигроскопичностью (что предохраняет их от усыхания при низкой влажности и разбухания при слишком высокой).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3. Выбор типа клея и грунта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Мною был использован желатиновый клей (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глютиновый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>)  ввиду его доступности и простоты изготовления. Так же выбор желатина в качестве основы для клея обосновали следующие его качества: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• высокие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адгезивные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 свойства;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• хорошая проникающая способность;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• экономичность - обеспечивает равномерное нанесение клеевого слоя;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• содержит компоненты, компенсирующие разницу во влажности склеиваемых материалов.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В настоящее время основным видом грунта, имеющимся в продаже, является акриловый грунт. Он отличается высокой проникающей способностью и отличными поверхностно-скрепляющими свойствами, высоким  коэффициентом адгезии.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Также он обладает следующими свойствами:</w:t>
      </w:r>
    </w:p>
    <w:p w:rsidR="004E7027" w:rsidRPr="004E7027" w:rsidRDefault="004E7027" w:rsidP="002B5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не содержит вредных для здоровья человека растворителей и примесей;</w:t>
      </w:r>
    </w:p>
    <w:p w:rsidR="004E7027" w:rsidRPr="004E7027" w:rsidRDefault="004E7027" w:rsidP="002B5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обладает высокой проникающей и клеевой способностью;</w:t>
      </w:r>
    </w:p>
    <w:p w:rsidR="004E7027" w:rsidRPr="004E7027" w:rsidRDefault="004E7027" w:rsidP="002B5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является дышащим материалом, не препятствует газообмену;</w:t>
      </w:r>
    </w:p>
    <w:p w:rsidR="004E7027" w:rsidRPr="004E7027" w:rsidRDefault="004E7027" w:rsidP="002B5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микропористый;</w:t>
      </w:r>
    </w:p>
    <w:p w:rsidR="004E7027" w:rsidRPr="004E7027" w:rsidRDefault="004E7027" w:rsidP="002B5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легко наносится равномерным слоем.</w:t>
      </w:r>
    </w:p>
    <w:p w:rsid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027" w:rsidRDefault="004E7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027" w:rsidRP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4E7027">
        <w:rPr>
          <w:rFonts w:ascii="Times New Roman" w:hAnsi="Times New Roman" w:cs="Times New Roman"/>
          <w:sz w:val="32"/>
          <w:szCs w:val="32"/>
        </w:rPr>
        <w:lastRenderedPageBreak/>
        <w:t>Технология подготовки холста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7027">
        <w:rPr>
          <w:rFonts w:ascii="Times New Roman" w:hAnsi="Times New Roman" w:cs="Times New Roman"/>
          <w:sz w:val="28"/>
          <w:szCs w:val="28"/>
        </w:rPr>
        <w:t>. Первая операция при подготовке к проведению работы – натягивание холста на подрамник.</w:t>
      </w:r>
      <w:proofErr w:type="gramEnd"/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Существуют два основных типа натяжки – крестовая и диагональная. В данной работе использовалась крестовая натяжка. Для этого необходим строительный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 или гвозди.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После сборки модульного подрамника, нужно обрезать холст с каждой стороны, оставив припуски по 5 см. на каждой стороне. Направление нитей холста должно быть параллельным краям подрамника. Если холст будет перекошен, то его будет невозможно натянуть ровно.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2495" cy="1759585"/>
            <wp:effectExtent l="19050" t="0" r="8255" b="0"/>
            <wp:docPr id="9" name="Рисунок 2" descr="C:\Documents and Settings\Admin\Рабочий стол\перв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перв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Закрепить холст с четырех сторон, как показано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7027">
        <w:rPr>
          <w:rFonts w:ascii="Times New Roman" w:hAnsi="Times New Roman" w:cs="Times New Roman"/>
          <w:sz w:val="28"/>
          <w:szCs w:val="28"/>
        </w:rPr>
        <w:t xml:space="preserve">исунке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027">
        <w:rPr>
          <w:rFonts w:ascii="Times New Roman" w:hAnsi="Times New Roman" w:cs="Times New Roman"/>
          <w:sz w:val="28"/>
          <w:szCs w:val="28"/>
        </w:rPr>
        <w:t>. На самом холсте образуются «складки» в виде ромба. Необходимо проверить диагонали - стороны ромба должны быть попарно параллельны.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7110" cy="1837690"/>
            <wp:effectExtent l="0" t="0" r="8890" b="0"/>
            <wp:docPr id="8" name="Рисунок 3" descr="C:\Documents and Settings\Admin\Рабочий стол\втор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второ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7027">
        <w:rPr>
          <w:rFonts w:ascii="Times New Roman" w:hAnsi="Times New Roman" w:cs="Times New Roman"/>
          <w:sz w:val="28"/>
          <w:szCs w:val="28"/>
        </w:rPr>
        <w:t>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Растягивать холст нужно легко и равномерно. Закреплять холст через каждые 4-6 см. по всему периметру подрамника, двигаясь от центра наружу (рисунок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E7027">
        <w:rPr>
          <w:rFonts w:ascii="Times New Roman" w:hAnsi="Times New Roman" w:cs="Times New Roman"/>
          <w:sz w:val="28"/>
          <w:szCs w:val="28"/>
        </w:rPr>
        <w:t>)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23795" cy="1958340"/>
            <wp:effectExtent l="19050" t="0" r="0" b="0"/>
            <wp:docPr id="7" name="Рисунок 5" descr="C:\Documents and Settings\Admin\Рабочий стол\трет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трети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027" w:rsidRPr="00C76BF5" w:rsidRDefault="004E7027">
      <w:pPr>
        <w:rPr>
          <w:rFonts w:ascii="Times New Roman" w:hAnsi="Times New Roman" w:cs="Times New Roman"/>
          <w:sz w:val="28"/>
          <w:szCs w:val="28"/>
        </w:rPr>
      </w:pPr>
      <w:r w:rsidRPr="00C76BF5">
        <w:rPr>
          <w:rFonts w:ascii="Times New Roman" w:hAnsi="Times New Roman" w:cs="Times New Roman"/>
          <w:sz w:val="28"/>
          <w:szCs w:val="28"/>
        </w:rPr>
        <w:br w:type="page"/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E7027">
        <w:rPr>
          <w:rFonts w:ascii="Times New Roman" w:hAnsi="Times New Roman" w:cs="Times New Roman"/>
          <w:sz w:val="28"/>
          <w:szCs w:val="28"/>
        </w:rPr>
        <w:t>. Проклейка холста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Проклейка служит для предотвращения просачивания грунта и масляной краски сквозь холст.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Приготовление клея на основе желатина: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- для первой проклейки берут 10%-ный раствор клея: 10 г клея на 90 г воды.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- для второй проклейки берут 8%-ный раствор клея: 8 г клея на   110 г воды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- для третьей проклейки берут 6%-ный раствор клея: 6 г клея на 130 г воды.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Гранулы желатина заливают водой (примерная температура – 26°С), дают разбухнуть. После этого подогревают на водяной бане до полного растворения массы, не давая раствору закипеть. Клей остужают до комнатной температуры. Горячим клеевым раствором хо</w:t>
      </w:r>
      <w:proofErr w:type="gramStart"/>
      <w:r w:rsidRPr="004E7027">
        <w:rPr>
          <w:rFonts w:ascii="Times New Roman" w:hAnsi="Times New Roman" w:cs="Times New Roman"/>
          <w:sz w:val="28"/>
          <w:szCs w:val="28"/>
        </w:rPr>
        <w:t>лст пр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>оклеивать нельзя, так как клей проходит насквозь и растрескивается. Холодный клеевой раствор не проходит на оборотную сторону холста и при высыхании дает ровную пленку, хорошо закрывающую отверстия в ткани холста.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Первый слой клея наносят «в протирку», тонким слоем, второй слой равномерным слоем, не давая появиться и застынуть каплям клея на поверхности холста. При проклейке холста необходимо двигаться постепенно – от краёв к центру для достижения равномерной натяжки. Клей наносить быстро, не провод несколько раз по одному и тому же месту, чтобы не нарушать быстро образовывающуюся плёнку. Третий слой клея также  наносится «в протирку». Между проклейками необходимо дать холсту высыхать в течение суток при комнатной температуре при отсутствии сквозняков. Грунт и клей не должны проходить на оборотную сторону холста.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Когда первый слой проклейки совершенно просохнет, то хо</w:t>
      </w:r>
      <w:proofErr w:type="gramStart"/>
      <w:r w:rsidRPr="004E7027">
        <w:rPr>
          <w:rFonts w:ascii="Times New Roman" w:hAnsi="Times New Roman" w:cs="Times New Roman"/>
          <w:sz w:val="28"/>
          <w:szCs w:val="28"/>
        </w:rPr>
        <w:t>лст сл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>едует прошлифовать куском пемзы с целью уничтожения всех неровностей, узелков и т. п., образовавшихся на поверхности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7027">
        <w:rPr>
          <w:rFonts w:ascii="Times New Roman" w:hAnsi="Times New Roman" w:cs="Times New Roman"/>
          <w:sz w:val="28"/>
          <w:szCs w:val="28"/>
        </w:rPr>
        <w:t>. Грунтование холста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Высохший после проклеек холст нужно загрунтовать. Грунтуют хо</w:t>
      </w:r>
      <w:proofErr w:type="gramStart"/>
      <w:r w:rsidRPr="004E7027">
        <w:rPr>
          <w:rFonts w:ascii="Times New Roman" w:hAnsi="Times New Roman" w:cs="Times New Roman"/>
          <w:sz w:val="28"/>
          <w:szCs w:val="28"/>
        </w:rPr>
        <w:t>лст дл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>я того, чтобы создать связующее звено между холстом и красками.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Приготовленную массу грунта наносят кистью на проклеенный холст в 2-3 последовательно </w:t>
      </w:r>
      <w:proofErr w:type="gramStart"/>
      <w:r w:rsidRPr="004E7027">
        <w:rPr>
          <w:rFonts w:ascii="Times New Roman" w:hAnsi="Times New Roman" w:cs="Times New Roman"/>
          <w:sz w:val="28"/>
          <w:szCs w:val="28"/>
        </w:rPr>
        <w:t>накладываемых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 xml:space="preserve"> тонких слоя. Каждый новый слой наносится только на полностью просушенный предыдущий слой. Время высыхания современных акриловых грунтов составляет 1 час. Если массу грунта нанести сразу одним толстым слоем, то грунт скоро покроется сетью трещин и может осыпаться. Во избежание этого грунт всегда следует наносить тонкими слоями, давая каждому слою хорошо просохнуть, прежде чем наносить следующий.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>Первый слой грунта наносится так же, как и клей, «в протирку», тонким слоем широкой кистью с малым количеством грунта на ней. Второй слой наносят равномерным слоем.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lastRenderedPageBreak/>
        <w:t>Хорошо проклеенный холст, равномерно загрунтованный так, чтобы грунт не проник в поры ткани холста, не требует третьего слоя грунта. Если хо</w:t>
      </w:r>
      <w:proofErr w:type="gramStart"/>
      <w:r w:rsidRPr="004E7027">
        <w:rPr>
          <w:rFonts w:ascii="Times New Roman" w:hAnsi="Times New Roman" w:cs="Times New Roman"/>
          <w:sz w:val="28"/>
          <w:szCs w:val="28"/>
        </w:rPr>
        <w:t>лст пр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 xml:space="preserve">оклеен плохо, или если на поверхности имеются поры, то наносят ещё один тонкий слой грунта. </w:t>
      </w:r>
    </w:p>
    <w:p w:rsid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br w:type="page"/>
      </w:r>
      <w:r w:rsidRPr="004E7027">
        <w:rPr>
          <w:rFonts w:ascii="Times New Roman" w:hAnsi="Times New Roman" w:cs="Times New Roman"/>
          <w:sz w:val="32"/>
          <w:szCs w:val="28"/>
        </w:rPr>
        <w:lastRenderedPageBreak/>
        <w:t>Порядок выполнения работы над копией станковой масляной живописи</w:t>
      </w:r>
    </w:p>
    <w:p w:rsidR="004E7027" w:rsidRPr="004E7027" w:rsidRDefault="004E7027" w:rsidP="004E7027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7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Отрисовка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 картона.</w:t>
      </w:r>
      <w:proofErr w:type="gramEnd"/>
      <w:r w:rsidRPr="004E7027">
        <w:rPr>
          <w:rFonts w:ascii="Times New Roman" w:hAnsi="Times New Roman" w:cs="Times New Roman"/>
          <w:sz w:val="28"/>
          <w:szCs w:val="28"/>
        </w:rPr>
        <w:t xml:space="preserve"> Формат бумаги берётся в соответствии с форматом работы, он может быть оригинального размера или, если оригинал работы является слишком большим, пропорционально уменьшенного размера.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7027">
        <w:rPr>
          <w:rFonts w:ascii="Times New Roman" w:hAnsi="Times New Roman" w:cs="Times New Roman"/>
          <w:sz w:val="28"/>
          <w:szCs w:val="28"/>
        </w:rPr>
        <w:t>. Нанесение масштабно-модульной сетки. При этом руководствуются принципом – количество квадратов должно быть одинаковым (размеры их на листе бумаги и на холсте могут не совпадать, если формат бумаги взят не в размер будущей копии).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7027">
        <w:rPr>
          <w:rFonts w:ascii="Times New Roman" w:hAnsi="Times New Roman" w:cs="Times New Roman"/>
          <w:sz w:val="28"/>
          <w:szCs w:val="28"/>
        </w:rPr>
        <w:t xml:space="preserve">. Перенесение изображения посредством масштабно-модульной сетки на размеченный холст.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7027">
        <w:rPr>
          <w:rFonts w:ascii="Times New Roman" w:hAnsi="Times New Roman" w:cs="Times New Roman"/>
          <w:sz w:val="28"/>
          <w:szCs w:val="28"/>
        </w:rPr>
        <w:t xml:space="preserve">. Вся французская живопись второй половины </w:t>
      </w:r>
      <w:r w:rsidRPr="004E70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7027">
        <w:rPr>
          <w:rFonts w:ascii="Times New Roman" w:hAnsi="Times New Roman" w:cs="Times New Roman"/>
          <w:sz w:val="28"/>
          <w:szCs w:val="28"/>
        </w:rPr>
        <w:t xml:space="preserve"> века писалась по предварительной прокладке жидкого красочного слоя, который называется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имприматура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. Для данной работы была выполнена цветная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имприматура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7027">
        <w:rPr>
          <w:rFonts w:ascii="Times New Roman" w:hAnsi="Times New Roman" w:cs="Times New Roman"/>
          <w:sz w:val="28"/>
          <w:szCs w:val="28"/>
        </w:rPr>
        <w:t>. Подмалёвок, выполняемый с уточнением цветовой гаммы.</w:t>
      </w:r>
      <w:proofErr w:type="gramEnd"/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7027">
        <w:rPr>
          <w:rFonts w:ascii="Times New Roman" w:hAnsi="Times New Roman" w:cs="Times New Roman"/>
          <w:sz w:val="28"/>
          <w:szCs w:val="28"/>
        </w:rPr>
        <w:t>. Послойное уточнение цветов и формы объектов с учётом техники, использованной автором картины.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7027">
        <w:rPr>
          <w:rFonts w:ascii="Times New Roman" w:hAnsi="Times New Roman" w:cs="Times New Roman"/>
          <w:sz w:val="28"/>
          <w:szCs w:val="28"/>
        </w:rPr>
        <w:t xml:space="preserve">. Обобщение работы посредством лессировок. </w:t>
      </w:r>
    </w:p>
    <w:p w:rsidR="004E7027" w:rsidRPr="004E7027" w:rsidRDefault="004E7027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027">
        <w:rPr>
          <w:rFonts w:ascii="Times New Roman" w:hAnsi="Times New Roman" w:cs="Times New Roman"/>
          <w:sz w:val="28"/>
          <w:szCs w:val="28"/>
        </w:rPr>
        <w:t xml:space="preserve">При высыхании картина покрывается смесью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даммарного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 лака и </w:t>
      </w:r>
      <w:proofErr w:type="spellStart"/>
      <w:r w:rsidRPr="004E7027">
        <w:rPr>
          <w:rFonts w:ascii="Times New Roman" w:hAnsi="Times New Roman" w:cs="Times New Roman"/>
          <w:sz w:val="28"/>
          <w:szCs w:val="28"/>
        </w:rPr>
        <w:t>пинена</w:t>
      </w:r>
      <w:proofErr w:type="spellEnd"/>
      <w:r w:rsidRPr="004E7027">
        <w:rPr>
          <w:rFonts w:ascii="Times New Roman" w:hAnsi="Times New Roman" w:cs="Times New Roman"/>
          <w:sz w:val="28"/>
          <w:szCs w:val="28"/>
        </w:rPr>
        <w:t xml:space="preserve"> в процентном соотношении 50/50.</w:t>
      </w:r>
    </w:p>
    <w:p w:rsidR="00C76BF5" w:rsidRDefault="00C7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литературы:</w:t>
      </w:r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Киплик</w:t>
      </w:r>
      <w:proofErr w:type="spellEnd"/>
      <w:r>
        <w:rPr>
          <w:rFonts w:ascii="Times New Roman" w:hAnsi="Times New Roman"/>
          <w:sz w:val="28"/>
          <w:szCs w:val="28"/>
        </w:rPr>
        <w:t xml:space="preserve"> Д.И. «Техника живописи», </w:t>
      </w:r>
      <w:proofErr w:type="spellStart"/>
      <w:r>
        <w:rPr>
          <w:rFonts w:ascii="Times New Roman" w:hAnsi="Times New Roman"/>
          <w:sz w:val="28"/>
          <w:szCs w:val="28"/>
        </w:rPr>
        <w:t>Мск</w:t>
      </w:r>
      <w:proofErr w:type="spellEnd"/>
      <w:r>
        <w:rPr>
          <w:rFonts w:ascii="Times New Roman" w:hAnsi="Times New Roman"/>
          <w:sz w:val="28"/>
          <w:szCs w:val="28"/>
        </w:rPr>
        <w:t>, «В. Шевчук», 2008</w:t>
      </w:r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33516">
        <w:rPr>
          <w:rFonts w:ascii="Times New Roman" w:hAnsi="Times New Roman"/>
          <w:sz w:val="28"/>
          <w:szCs w:val="28"/>
        </w:rPr>
        <w:t>Киплик</w:t>
      </w:r>
      <w:proofErr w:type="spellEnd"/>
      <w:r w:rsidRPr="00833516">
        <w:rPr>
          <w:rFonts w:ascii="Times New Roman" w:hAnsi="Times New Roman"/>
          <w:sz w:val="28"/>
          <w:szCs w:val="28"/>
        </w:rPr>
        <w:t xml:space="preserve"> Д. И. Техника живописи старых мастеров // Техника живописи. — М.-Л.: Искусство, 1950.</w:t>
      </w:r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3516">
        <w:rPr>
          <w:rFonts w:ascii="Times New Roman" w:hAnsi="Times New Roman"/>
          <w:sz w:val="28"/>
          <w:szCs w:val="28"/>
        </w:rPr>
        <w:t>Н. Яворская. Пейзаж барбизонской школы. Искусство. 1962.</w:t>
      </w:r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материалы сайтов:</w:t>
      </w:r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9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http://www.slvm.ru/grunt.htm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10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http://www.bagetmaster.ru/info/316.html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11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http://solowin.narod.ru/style_painting.htm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2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http://www.peredvizhnik.ru/whatinfo37.html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13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http://www.artgorizont.com/articles.php?id_article=90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hyperlink r:id="rId14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http://www.ukoha.ru/article/lightart/oil/ractiranie_kracok_c_maclom.htm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hyperlink r:id="rId15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http://www.akland.ru/arhiv/arhiv2/renessans/pages/txt/2_analiz.htm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hyperlink r:id="rId16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http://ru.wikipedia.org/wiki/Барбизонская_школа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hyperlink r:id="rId17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http://www.icon-art.info/book_contents.php?book_id=64&amp;chap=2&amp;ch_l2=2</w:t>
        </w:r>
      </w:hyperlink>
    </w:p>
    <w:p w:rsidR="00C76BF5" w:rsidRDefault="00C76BF5" w:rsidP="00C76B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hyperlink r:id="rId18" w:history="1">
        <w:r w:rsidRPr="00DE719A">
          <w:rPr>
            <w:rStyle w:val="a6"/>
            <w:rFonts w:ascii="Times New Roman" w:hAnsi="Times New Roman"/>
            <w:sz w:val="28"/>
            <w:szCs w:val="28"/>
          </w:rPr>
          <w:t>http://art-blog.uz/archives/895</w:t>
        </w:r>
      </w:hyperlink>
    </w:p>
    <w:p w:rsidR="007E66E8" w:rsidRPr="004E7027" w:rsidRDefault="007E66E8" w:rsidP="004E70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E66E8" w:rsidRPr="004E7027" w:rsidSect="00D2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016"/>
    <w:multiLevelType w:val="hybridMultilevel"/>
    <w:tmpl w:val="7FA0A9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B5204E"/>
    <w:multiLevelType w:val="hybridMultilevel"/>
    <w:tmpl w:val="06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027"/>
    <w:rsid w:val="002B507B"/>
    <w:rsid w:val="004E7027"/>
    <w:rsid w:val="007E66E8"/>
    <w:rsid w:val="00C76BF5"/>
    <w:rsid w:val="00D2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0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artgorizont.com/articles.php?id_article=90" TargetMode="External"/><Relationship Id="rId18" Type="http://schemas.openxmlformats.org/officeDocument/2006/relationships/hyperlink" Target="http://art-blog.uz/archives/8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peredvizhnik.ru/whatinfo37.html" TargetMode="External"/><Relationship Id="rId17" Type="http://schemas.openxmlformats.org/officeDocument/2006/relationships/hyperlink" Target="http://www.icon-art.info/book_contents.php?book_id=64&amp;chap=2&amp;ch_l2=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1;&#1072;&#1088;&#1073;&#1080;&#1079;&#1086;&#1085;&#1089;&#1082;&#1072;&#1103;_&#1096;&#1082;&#1086;&#1083;&#107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olowin.narod.ru/style_painting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kland.ru/arhiv/arhiv2/renessans/pages/txt/2_analiz.htm" TargetMode="External"/><Relationship Id="rId10" Type="http://schemas.openxmlformats.org/officeDocument/2006/relationships/hyperlink" Target="http://www.bagetmaster.ru/info/31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vm.ru/grunt.htm" TargetMode="External"/><Relationship Id="rId14" Type="http://schemas.openxmlformats.org/officeDocument/2006/relationships/hyperlink" Target="http://www.ukoha.ru/article/lightart/oil/ractiranie_kracok_c_macl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Аман</cp:lastModifiedBy>
  <cp:revision>3</cp:revision>
  <dcterms:created xsi:type="dcterms:W3CDTF">2014-01-27T21:22:00Z</dcterms:created>
  <dcterms:modified xsi:type="dcterms:W3CDTF">2014-01-27T21:42:00Z</dcterms:modified>
</cp:coreProperties>
</file>