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DE" w:rsidRPr="00DA6F14" w:rsidRDefault="003D55DE" w:rsidP="003D55D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30730" cy="211391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F14">
        <w:rPr>
          <w:rFonts w:ascii="Times New Roman" w:hAnsi="Times New Roman"/>
          <w:sz w:val="28"/>
          <w:szCs w:val="28"/>
        </w:rPr>
        <w:t xml:space="preserve"> Рис. 2</w:t>
      </w:r>
    </w:p>
    <w:p w:rsidR="003D55DE" w:rsidRPr="00DA6F14" w:rsidRDefault="003D55DE" w:rsidP="003D55D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55DE" w:rsidRPr="00DA6F14" w:rsidRDefault="003D55DE" w:rsidP="003D55D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A6F14">
        <w:rPr>
          <w:rFonts w:ascii="Times New Roman" w:hAnsi="Times New Roman"/>
          <w:sz w:val="28"/>
          <w:szCs w:val="28"/>
        </w:rPr>
        <w:t>Использовать пособие можно как в ходе организованной речевой деятельности с детьми, так и в свободной детской деятельности. В этом случае дети самостоятельно организуют сюжетно-ролевую игру, беря на себя роль и взрослого, как ведущего, и ребёнка, как игрока.</w:t>
      </w:r>
    </w:p>
    <w:p w:rsidR="003D55DE" w:rsidRPr="00DA6F14" w:rsidRDefault="003D55DE" w:rsidP="003D55D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A6F14">
        <w:rPr>
          <w:rFonts w:ascii="Times New Roman" w:hAnsi="Times New Roman"/>
          <w:sz w:val="28"/>
          <w:szCs w:val="28"/>
        </w:rPr>
        <w:t>Игровые поля «</w:t>
      </w:r>
      <w:proofErr w:type="spellStart"/>
      <w:r w:rsidRPr="00DA6F14">
        <w:rPr>
          <w:rFonts w:ascii="Times New Roman" w:hAnsi="Times New Roman"/>
          <w:sz w:val="28"/>
          <w:szCs w:val="28"/>
        </w:rPr>
        <w:t>Логодиска</w:t>
      </w:r>
      <w:proofErr w:type="spellEnd"/>
      <w:r w:rsidRPr="00DA6F14">
        <w:rPr>
          <w:rFonts w:ascii="Times New Roman" w:hAnsi="Times New Roman"/>
          <w:sz w:val="28"/>
          <w:szCs w:val="28"/>
        </w:rPr>
        <w:t>» могут быть разными, в зависимости от содержания речевой работы, её задач.</w:t>
      </w:r>
    </w:p>
    <w:p w:rsidR="003D55DE" w:rsidRPr="00DA6F14" w:rsidRDefault="003D55DE" w:rsidP="003D55D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A6F14">
        <w:rPr>
          <w:rFonts w:ascii="Times New Roman" w:hAnsi="Times New Roman"/>
          <w:sz w:val="28"/>
          <w:szCs w:val="28"/>
        </w:rPr>
        <w:t>Это могут быть лексико-грамматические игры и упражнения, в ходе которых закрепляются в игровой форме различные лексико-грамматические категории и языковые понятия на разнообразном лексическом материале при прохождении той или иной лексической темы. Легко и непринуждённо дети усваивают падежные формы имён существительных, образование имён существительных с уменьшительно-ласкательным значением, согласование местоимений, числительных с существительными и т. д.</w:t>
      </w:r>
    </w:p>
    <w:p w:rsidR="003D55DE" w:rsidRPr="00DA6F14" w:rsidRDefault="003D55DE" w:rsidP="003D55D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A6F14">
        <w:rPr>
          <w:rFonts w:ascii="Times New Roman" w:hAnsi="Times New Roman"/>
          <w:sz w:val="28"/>
          <w:szCs w:val="28"/>
        </w:rPr>
        <w:t>Игровое поле «</w:t>
      </w:r>
      <w:proofErr w:type="spellStart"/>
      <w:r w:rsidRPr="00DA6F14">
        <w:rPr>
          <w:rFonts w:ascii="Times New Roman" w:hAnsi="Times New Roman"/>
          <w:sz w:val="28"/>
          <w:szCs w:val="28"/>
        </w:rPr>
        <w:t>Логодиска</w:t>
      </w:r>
      <w:proofErr w:type="spellEnd"/>
      <w:r w:rsidRPr="00DA6F14">
        <w:rPr>
          <w:rFonts w:ascii="Times New Roman" w:hAnsi="Times New Roman"/>
          <w:sz w:val="28"/>
          <w:szCs w:val="28"/>
        </w:rPr>
        <w:t>» может содержать игры и задания на закрепление умения осуществлять различные виды языкового анализа и синтеза.</w:t>
      </w:r>
    </w:p>
    <w:p w:rsidR="003D55DE" w:rsidRPr="00DA6F14" w:rsidRDefault="003D55DE" w:rsidP="003D55D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A6F14">
        <w:rPr>
          <w:rFonts w:ascii="Times New Roman" w:hAnsi="Times New Roman"/>
          <w:sz w:val="28"/>
          <w:szCs w:val="28"/>
        </w:rPr>
        <w:t xml:space="preserve">Использование пособия в ходе организованной речевой деятельности даёт возможность сэкономить время, так как отпадает необходимость объяснения правил и хода выполнения предлагаемых игр и упражнений, хорошо знакомых детям и легко узнаваемых и припоминаемых  с опорой на картинно-графические символы.  </w:t>
      </w:r>
    </w:p>
    <w:p w:rsidR="003D55DE" w:rsidRPr="00DA6F14" w:rsidRDefault="003D55DE" w:rsidP="003D55D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A6F14">
        <w:rPr>
          <w:rFonts w:ascii="Times New Roman" w:hAnsi="Times New Roman"/>
          <w:sz w:val="28"/>
          <w:szCs w:val="28"/>
        </w:rPr>
        <w:t>Дети с речевым заключением «общее недоразвитие речи», как показывает опыт, при рассмотрении предметов наибольшие затруднения  испытывают в самостоятельном определении его главных свойств и признаков, установлении последовательности изложения выявленных признаков, удержании в памяти этой последовательности, которая будет являться планом связного высказывания.</w:t>
      </w:r>
    </w:p>
    <w:p w:rsidR="003D55DE" w:rsidRPr="00DA6F14" w:rsidRDefault="003D55DE" w:rsidP="003D55D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A6F14">
        <w:rPr>
          <w:rFonts w:ascii="Times New Roman" w:hAnsi="Times New Roman"/>
          <w:sz w:val="28"/>
          <w:szCs w:val="28"/>
        </w:rPr>
        <w:t xml:space="preserve">Именно поэтому эффективно использовать принцип данного пособия при составлении описательных рассказов. В этом случае в каждом секторе поля размещаются символы, характеризующие определённые признаки предметов.     </w:t>
      </w:r>
    </w:p>
    <w:p w:rsidR="00DC5D47" w:rsidRDefault="00DC5D47"/>
    <w:sectPr w:rsidR="00DC5D47" w:rsidSect="00DC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55DE"/>
    <w:rsid w:val="003D55DE"/>
    <w:rsid w:val="00795131"/>
    <w:rsid w:val="009A5BDB"/>
    <w:rsid w:val="00DC5D47"/>
    <w:rsid w:val="00DC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5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D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2013-02-05T14:13:00Z</dcterms:created>
  <dcterms:modified xsi:type="dcterms:W3CDTF">2013-02-05T14:14:00Z</dcterms:modified>
</cp:coreProperties>
</file>