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A" w:rsidRDefault="00761842" w:rsidP="007F047A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20.25pt" fillcolor="blue" strokecolor="#3cc">
            <v:shadow on="t" color="silver" opacity="52429f"/>
            <v:textpath style="font-family:&quot;Harrington&quot;;font-size:16pt;v-text-kern:t" trim="t" fitpath="t" string="МКОУ БУТАКОВСКАЯ СРЕДНЯЯ ОБЩЕОБРАЗОВАТЕЛЬНАЯ ШКОЛА"/>
          </v:shape>
        </w:pict>
      </w:r>
    </w:p>
    <w:p w:rsidR="007F047A" w:rsidRDefault="007F047A" w:rsidP="007F047A">
      <w:pPr>
        <w:jc w:val="center"/>
        <w:rPr>
          <w:lang w:val="en-US"/>
        </w:rPr>
      </w:pPr>
    </w:p>
    <w:p w:rsidR="007F047A" w:rsidRDefault="007F047A" w:rsidP="007F047A">
      <w:pPr>
        <w:jc w:val="center"/>
        <w:rPr>
          <w:lang w:val="en-US"/>
        </w:rPr>
      </w:pPr>
    </w:p>
    <w:p w:rsidR="007F047A" w:rsidRDefault="007F047A" w:rsidP="007F047A">
      <w:pPr>
        <w:jc w:val="center"/>
        <w:rPr>
          <w:lang w:val="en-US"/>
        </w:rPr>
      </w:pPr>
    </w:p>
    <w:p w:rsidR="007F047A" w:rsidRDefault="00761842" w:rsidP="007F047A">
      <w:pPr>
        <w:jc w:val="center"/>
      </w:pPr>
      <w:r>
        <w:pict>
          <v:shape id="_x0000_i1026" type="#_x0000_t136" style="width:105.75pt;height:26.25pt" fillcolor="blue" strokecolor="navy">
            <v:shadow on="t" color="silver" opacity="52429f"/>
            <v:textpath style="font-family:&quot;Harrington&quot;;font-size:20pt;v-text-kern:t" trim="t" fitpath="t" string="Доклад"/>
          </v:shape>
        </w:pict>
      </w:r>
    </w:p>
    <w:p w:rsidR="007F047A" w:rsidRDefault="00761842" w:rsidP="007F047A">
      <w:pPr>
        <w:jc w:val="center"/>
      </w:pPr>
      <w:r w:rsidRPr="00761842">
        <w:rPr>
          <w:color w:val="FF0000"/>
        </w:rPr>
        <w:pict>
          <v:shape id="_x0000_i1027" type="#_x0000_t136" style="width:87.75pt;height:18.75pt" fillcolor="blue" strokecolor="#339">
            <v:shadow on="t" color="silver" opacity="52429f"/>
            <v:textpath style="font-family:&quot;Harrington&quot;;font-size:16pt;v-text-kern:t" trim="t" fitpath="t" string="по  теме:"/>
          </v:shape>
        </w:pict>
      </w: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61842" w:rsidP="007F047A">
      <w:pPr>
        <w:jc w:val="center"/>
      </w:pPr>
      <w:r>
        <w:pict>
          <v:shape id="_x0000_i1028" type="#_x0000_t136" style="width:465.75pt;height:99pt" fillcolor="blue" strokecolor="navy">
            <v:shadow on="t" color="silver" opacity="52429f"/>
            <v:textpath style="font-family:&quot;Harrington&quot;;font-size:18pt;v-text-kern:t" trim="t" fitpath="t" string="&quot;Метод проектов&#10; как средство формирования&#10; ключевых компетенций&quot;&#10;"/>
          </v:shape>
        </w:pict>
      </w: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F047A" w:rsidP="007F047A">
      <w:pPr>
        <w:jc w:val="center"/>
      </w:pPr>
    </w:p>
    <w:p w:rsidR="007F047A" w:rsidRDefault="00761842" w:rsidP="00340123">
      <w:pPr>
        <w:jc w:val="right"/>
      </w:pPr>
      <w:r>
        <w:pict>
          <v:shape id="_x0000_i1029" type="#_x0000_t136" style="width:279pt;height:44.25pt" fillcolor="blue" strokecolor="#3cc">
            <v:shadow on="t" color="silver" opacity="52429f"/>
            <v:textpath style="font-family:&quot;Harrington&quot;;font-size:18pt;v-text-kern:t" trim="t" fitpath="t" string="Выполнила: учитель химии&#10;Сапожникова Светлана  Викторовна"/>
          </v:shape>
        </w:pict>
      </w:r>
    </w:p>
    <w:p w:rsidR="007F047A" w:rsidRDefault="007F047A" w:rsidP="007F047A">
      <w:pPr>
        <w:jc w:val="right"/>
      </w:pPr>
    </w:p>
    <w:p w:rsidR="007F047A" w:rsidRDefault="007F047A" w:rsidP="007F047A">
      <w:pPr>
        <w:jc w:val="right"/>
      </w:pPr>
    </w:p>
    <w:p w:rsidR="007F047A" w:rsidRDefault="007F047A" w:rsidP="007F047A">
      <w:pPr>
        <w:jc w:val="right"/>
      </w:pPr>
    </w:p>
    <w:p w:rsidR="007F047A" w:rsidRDefault="007F047A" w:rsidP="007F047A">
      <w:pPr>
        <w:jc w:val="right"/>
      </w:pPr>
    </w:p>
    <w:p w:rsidR="007F047A" w:rsidRDefault="00761842" w:rsidP="007F047A">
      <w:pPr>
        <w:jc w:val="center"/>
        <w:rPr>
          <w:lang w:val="en-US"/>
        </w:rPr>
      </w:pPr>
      <w:r>
        <w:pict>
          <v:shape id="_x0000_i1030" type="#_x0000_t136" style="width:54pt;height:18.75pt" fillcolor="blue" strokecolor="#3cc">
            <v:shadow on="t" color="silver" opacity="52429f"/>
            <v:textpath style="font-family:&quot;Harrington&quot;;font-size:16pt;v-text-kern:t" trim="t" fitpath="t" string="2013 г. "/>
          </v:shape>
        </w:pict>
      </w:r>
    </w:p>
    <w:p w:rsidR="0099320C" w:rsidRDefault="0099320C" w:rsidP="009932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0D5334">
        <w:rPr>
          <w:rFonts w:ascii="Times New Roman" w:hAnsi="Times New Roman" w:cs="Times New Roman"/>
          <w:sz w:val="24"/>
          <w:szCs w:val="24"/>
        </w:rPr>
        <w:t xml:space="preserve">етод проектов «как способ </w:t>
      </w:r>
      <w:r>
        <w:rPr>
          <w:rFonts w:ascii="Times New Roman" w:hAnsi="Times New Roman" w:cs="Times New Roman"/>
          <w:sz w:val="24"/>
          <w:szCs w:val="24"/>
        </w:rPr>
        <w:t>обучения через делание».</w:t>
      </w:r>
    </w:p>
    <w:p w:rsidR="0099320C" w:rsidRDefault="0099320C" w:rsidP="0099320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ьюн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123" w:rsidRPr="000D5334" w:rsidRDefault="0034012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Технология классно-урочной системы становится 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неконкурентноспособной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 xml:space="preserve"> в современных условиях.</w:t>
      </w:r>
    </w:p>
    <w:p w:rsidR="00340123" w:rsidRPr="000D5334" w:rsidRDefault="0034012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Акцент образования переносится на воспитание свободной личности, формирование у детей способности самостоятельно мыслить, добывать и применять знания, тщательно обдумывать решения и чётко планировать действия.</w:t>
      </w:r>
    </w:p>
    <w:p w:rsidR="00340123" w:rsidRPr="000D5334" w:rsidRDefault="0034012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Метод проектов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сложности. Метод адаптируется к особенностям практически всех учебных дисциплин.</w:t>
      </w:r>
    </w:p>
    <w:p w:rsidR="00340123" w:rsidRPr="000D5334" w:rsidRDefault="0034012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В основе проектной деятельности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логического и творческого мышления, пространственного воображения.</w:t>
      </w:r>
    </w:p>
    <w:p w:rsidR="003277A7" w:rsidRPr="000D5334" w:rsidRDefault="003277A7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Как организовать процесс обучения так, чтобы учащиеся воспринимали химию как нужную и востребованную жизнью науку, как часть мировой культуры, необходимую каждому образованному человеку для формирования целостной картины мира?</w:t>
      </w:r>
    </w:p>
    <w:p w:rsidR="003277A7" w:rsidRPr="000D5334" w:rsidRDefault="003277A7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Учить химии только традиционными методами невозможно, т.е. формировать химическую грамотность, обучать расчетам, максимально включать теоретические знания.</w:t>
      </w:r>
    </w:p>
    <w:p w:rsidR="003277A7" w:rsidRPr="000D5334" w:rsidRDefault="003277A7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Необходимо создавать условия для развития естественной познавательной активности ребенка и его самореализации через накопление индивидуального опыта.</w:t>
      </w:r>
    </w:p>
    <w:p w:rsidR="003277A7" w:rsidRDefault="003277A7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Для реализации в полной мере развивающего потенциала школьного курса химии помогает метод проектов, учитывающий потребность сегодняшнего дня - смену приоритетов с усвоения готовых знаний на активную самостоятельную, познавательную деятельность каждого ученика.</w:t>
      </w:r>
    </w:p>
    <w:p w:rsidR="00BD27C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Именно метод проектов позволяет совместить акцент с процесса пассивного накопления учеником сумм знаний на овладение им различными способами деятельности в условиях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информационных ресурсов, что способствует активному формированию творческой личности, способной решать нетрадиционные задачи в нестандартных условиях.</w:t>
      </w:r>
    </w:p>
    <w:p w:rsidR="00BD27C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Важно заметить, что работа в качестве учителя - руководителя проектов очень важна и полезна. Руководство деятельностью учащихся позволяет совершенствовать умение дифференцированно подходить к обучению ребят. Кроме того, и для самого педагога важно включение в исследовательскую деятельность, открытие для себя </w:t>
      </w:r>
      <w:proofErr w:type="gramStart"/>
      <w:r w:rsidRPr="000D5334"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 w:rsidRPr="000D5334">
        <w:rPr>
          <w:rFonts w:ascii="Times New Roman" w:hAnsi="Times New Roman" w:cs="Times New Roman"/>
          <w:sz w:val="24"/>
          <w:szCs w:val="24"/>
        </w:rPr>
        <w:t xml:space="preserve"> как в содержании преподаваемого материала, так и в методике его преподавания. Рутина жизни, традиционность поурочной организации учебного процесса часто не позволяют осуществить и собственную, и ученическую исследовательскую работу. Вот почему важно использование инновационных методов в работе учителя, умение пользоваться методом проектов - показатель прогрессивной методики обучения и развития учащихся.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lastRenderedPageBreak/>
        <w:t>Возросший интерес к методу проектов объясняется тем, что он позволяет реализовать основные направления модернизации общего образования: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интеграцию учебного содержания;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развитие пользовательских навыков в информационных технологиях;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формирование информационных, </w:t>
      </w:r>
      <w:r w:rsidRPr="00BD27C4">
        <w:rPr>
          <w:rFonts w:ascii="Times New Roman" w:hAnsi="Times New Roman" w:cs="Times New Roman"/>
          <w:b/>
          <w:sz w:val="24"/>
          <w:szCs w:val="24"/>
        </w:rPr>
        <w:t>коммуникативных и социаль</w:t>
      </w:r>
      <w:r w:rsidRPr="00BD27C4">
        <w:rPr>
          <w:rFonts w:ascii="Times New Roman" w:hAnsi="Times New Roman" w:cs="Times New Roman"/>
          <w:b/>
          <w:sz w:val="24"/>
          <w:szCs w:val="24"/>
        </w:rPr>
        <w:softHyphen/>
        <w:t>ных компетенций</w:t>
      </w:r>
      <w:r w:rsidRPr="000D5334">
        <w:rPr>
          <w:rFonts w:ascii="Times New Roman" w:hAnsi="Times New Roman" w:cs="Times New Roman"/>
          <w:sz w:val="24"/>
          <w:szCs w:val="24"/>
        </w:rPr>
        <w:t>;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-</w:t>
      </w:r>
      <w:r w:rsidRPr="000D5334">
        <w:rPr>
          <w:rFonts w:ascii="Times New Roman" w:hAnsi="Times New Roman" w:cs="Times New Roman"/>
          <w:sz w:val="24"/>
          <w:szCs w:val="24"/>
        </w:rPr>
        <w:tab/>
        <w:t>формирование у учащихся особого отношения к себе как к</w:t>
      </w:r>
      <w:r w:rsidRPr="000D5334">
        <w:rPr>
          <w:rFonts w:ascii="Times New Roman" w:hAnsi="Times New Roman" w:cs="Times New Roman"/>
          <w:sz w:val="24"/>
          <w:szCs w:val="24"/>
        </w:rPr>
        <w:br/>
        <w:t>субъекту знаний, практических умений и способностей.</w:t>
      </w:r>
    </w:p>
    <w:p w:rsidR="00BD27C4" w:rsidRPr="000D5334" w:rsidRDefault="00BD27C4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Самое главное, участие в проекте позволяет приобрести уникальный опыт (как школьникам, так и педагогам), невозможный при других формах обучения.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Выпускник современной школы, который будет </w:t>
      </w:r>
      <w:proofErr w:type="gramStart"/>
      <w:r w:rsidRPr="000D5334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0D5334">
        <w:rPr>
          <w:rFonts w:ascii="Times New Roman" w:hAnsi="Times New Roman" w:cs="Times New Roman"/>
          <w:sz w:val="24"/>
          <w:szCs w:val="24"/>
        </w:rPr>
        <w:t xml:space="preserve"> и трудиться в XXI веке, в постиндустриальном обществе, должен обладать определенными качествами личности, в частности: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•</w:t>
      </w:r>
      <w:r w:rsidRPr="000D5334">
        <w:rPr>
          <w:rFonts w:ascii="Times New Roman" w:hAnsi="Times New Roman" w:cs="Times New Roman"/>
          <w:sz w:val="24"/>
          <w:szCs w:val="24"/>
        </w:rPr>
        <w:tab/>
        <w:t>гибко адаптироваться в меняющихся жизненных ситуациях,</w:t>
      </w:r>
      <w:r w:rsidRPr="000D5334">
        <w:rPr>
          <w:rFonts w:ascii="Times New Roman" w:hAnsi="Times New Roman" w:cs="Times New Roman"/>
          <w:sz w:val="24"/>
          <w:szCs w:val="24"/>
        </w:rPr>
        <w:br/>
        <w:t>самостоятельно приобретая необходимые знания, умело применяя их</w:t>
      </w:r>
      <w:r w:rsidRPr="000D5334">
        <w:rPr>
          <w:rFonts w:ascii="Times New Roman" w:hAnsi="Times New Roman" w:cs="Times New Roman"/>
          <w:sz w:val="24"/>
          <w:szCs w:val="24"/>
        </w:rPr>
        <w:br/>
        <w:t>на практике для решения разнообразных проблем;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самостоятельно критически мыслить; быть способным генерировать новые идеи;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•</w:t>
      </w:r>
      <w:r w:rsidRPr="000D5334">
        <w:rPr>
          <w:rFonts w:ascii="Times New Roman" w:hAnsi="Times New Roman" w:cs="Times New Roman"/>
          <w:sz w:val="24"/>
          <w:szCs w:val="24"/>
        </w:rPr>
        <w:tab/>
        <w:t>грамотно работать с информацией;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быть коммуникабельным, контактным в различных социальных группах, уметь предотвращать конфликтные ситуации;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самостоятельно трудиться над развитием собственной нравственности, интеллекта, культурного уровня, т.е. речь идет о формировании современных ключевых компетенций: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общенаучной;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информационной;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познавательной;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социальной;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компетенции личностного самосовершенствования.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Итак, современное общество информационных технологий предъявляет социальный заказ школе.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Как отмечается в докладе Государственного совета Российской Федерации «Об образовательной политике России на современном этапе»,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</w:t>
      </w:r>
      <w:r w:rsidRPr="000D5334">
        <w:rPr>
          <w:rFonts w:ascii="Times New Roman" w:hAnsi="Times New Roman" w:cs="Times New Roman"/>
          <w:sz w:val="24"/>
          <w:szCs w:val="24"/>
        </w:rPr>
        <w:lastRenderedPageBreak/>
        <w:t>конструктивностью, готовы к межкультурному взаимодействию, обладающие чувством ответственности за судьбы страны, ее социально-экономическое процветание».</w:t>
      </w:r>
      <w:r w:rsidR="00932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13" w:rsidRPr="000D5334" w:rsidRDefault="00BD2013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А школа должна создавать условия для формирования личности, обладающей такими компетенциями.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Среди разнообразных направлений новых педагогических технологий наиболее адекватным поставленным целям, с нашей точки зрения, является проектное обучение. </w:t>
      </w:r>
      <w:r w:rsidR="00EE3338">
        <w:rPr>
          <w:rFonts w:ascii="Times New Roman" w:hAnsi="Times New Roman" w:cs="Times New Roman"/>
          <w:sz w:val="24"/>
          <w:szCs w:val="24"/>
        </w:rPr>
        <w:t xml:space="preserve">В </w:t>
      </w:r>
      <w:r w:rsidRPr="000D5334">
        <w:rPr>
          <w:rFonts w:ascii="Times New Roman" w:hAnsi="Times New Roman" w:cs="Times New Roman"/>
          <w:sz w:val="24"/>
          <w:szCs w:val="24"/>
        </w:rPr>
        <w:t>основе проектной деятельности лежит развитие познавательных навыков,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Не случайно в базисный учебный план внесена новая строчка о проектной деятельности, а один из параметров нового качества образования - способность проектировать.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Так в Федеральном компоненте государственного стандарта отмечается «участие учащихся в проектной деятельности, в организации и проведении учебно-исследовательской работы... творческое решение учебных и практических задач; самостоятельное выполнение творческих работ, проектов... 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 xml:space="preserve"> технологий».</w:t>
      </w:r>
    </w:p>
    <w:p w:rsidR="009329CE" w:rsidRPr="00A55F8C" w:rsidRDefault="009329CE" w:rsidP="00A5534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5F8C">
        <w:rPr>
          <w:rFonts w:ascii="Times New Roman" w:hAnsi="Times New Roman" w:cs="Times New Roman"/>
          <w:b/>
          <w:sz w:val="24"/>
          <w:szCs w:val="24"/>
        </w:rPr>
        <w:t>Почему нам из разнообразия инновационных направлений  нужно выбрать метод проектов?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По нескольким причинам: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-</w:t>
      </w:r>
      <w:r w:rsidRPr="000D5334">
        <w:rPr>
          <w:rFonts w:ascii="Times New Roman" w:hAnsi="Times New Roman" w:cs="Times New Roman"/>
          <w:sz w:val="24"/>
          <w:szCs w:val="24"/>
        </w:rPr>
        <w:tab/>
        <w:t>во-первых, потому что в условиях классно-урочной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занятий он  наиболее легко вписывается в учебный процесс. 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технология  позволяет достигать  поставленных любой программой,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стандартом   образования   целей   по   любому   учебному   предмету,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сохраняя     при     этом     достижения     отечественной     дидактики,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педагогической психологии, частных методик;</w:t>
      </w:r>
    </w:p>
    <w:p w:rsidR="009329CE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-</w:t>
      </w:r>
      <w:r w:rsidRPr="000D5334">
        <w:rPr>
          <w:rFonts w:ascii="Times New Roman" w:hAnsi="Times New Roman" w:cs="Times New Roman"/>
          <w:sz w:val="24"/>
          <w:szCs w:val="24"/>
        </w:rPr>
        <w:tab/>
        <w:t>во-вторых,    потому   что   этот   метод   гуманистический,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обеспечивает не только успешное усвоение учебного материала,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интеллектуальное и нравственное развитие детей, их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334">
        <w:rPr>
          <w:rFonts w:ascii="Times New Roman" w:hAnsi="Times New Roman" w:cs="Times New Roman"/>
          <w:sz w:val="24"/>
          <w:szCs w:val="24"/>
        </w:rPr>
        <w:t>доброжелательность по отношению к учителю и друг другу;</w:t>
      </w:r>
    </w:p>
    <w:p w:rsidR="009329CE" w:rsidRPr="000D5334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0D5334">
        <w:rPr>
          <w:rFonts w:ascii="Times New Roman" w:hAnsi="Times New Roman" w:cs="Times New Roman"/>
          <w:sz w:val="24"/>
          <w:szCs w:val="24"/>
        </w:rPr>
        <w:t>в-третьих, потому что проекты сплачивают детей, развивают коммуникабельность, желание помочь другим, умение работать в команде и ответственность за совместную работу.</w:t>
      </w:r>
    </w:p>
    <w:p w:rsidR="009329CE" w:rsidRDefault="009329CE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Если нам все-таки хочется 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 xml:space="preserve"> обучение, признать, что личность каждого нашего ученика самоценна и у каждого есть свой личный опыт и восприятие окружающего мира, то, право, стоит попробовать организовать проектную деятельность </w:t>
      </w:r>
      <w:r>
        <w:rPr>
          <w:rFonts w:ascii="Times New Roman" w:hAnsi="Times New Roman" w:cs="Times New Roman"/>
          <w:sz w:val="24"/>
          <w:szCs w:val="24"/>
        </w:rPr>
        <w:t>на своих уроках</w:t>
      </w:r>
      <w:r w:rsidRPr="000D5334">
        <w:rPr>
          <w:rFonts w:ascii="Times New Roman" w:hAnsi="Times New Roman" w:cs="Times New Roman"/>
          <w:sz w:val="24"/>
          <w:szCs w:val="24"/>
        </w:rPr>
        <w:t>.</w:t>
      </w:r>
    </w:p>
    <w:p w:rsidR="00A55F8C" w:rsidRPr="00A55F8C" w:rsidRDefault="00A55F8C" w:rsidP="00A5534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5F8C">
        <w:rPr>
          <w:rFonts w:ascii="Times New Roman" w:hAnsi="Times New Roman" w:cs="Times New Roman"/>
          <w:b/>
          <w:sz w:val="24"/>
          <w:szCs w:val="24"/>
        </w:rPr>
        <w:t>Можно  использовать  два вида урочных занятий для организации проектной деятельности.</w:t>
      </w:r>
    </w:p>
    <w:p w:rsidR="00A55F8C" w:rsidRPr="000D5334" w:rsidRDefault="00A55F8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Первый вид - проектные уроки, которые полностью состоят из работы над проектом. Это специально выделенные учебные часы, которых не может быть много ввиду высокой 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 xml:space="preserve"> работы над проектом. Оптимально использовать такие уроки 1-2 раза в год по какой-то определенной теме. В этом случае можно выиграть, как говорят, «качеством», а не «количеством».</w:t>
      </w:r>
    </w:p>
    <w:p w:rsidR="00A55F8C" w:rsidRPr="000D5334" w:rsidRDefault="00A55F8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lastRenderedPageBreak/>
        <w:t>Выбор количества часов и формы проведения таких уроков зависит от вида проекта. Предполагается высокая степень самостоятельности учащихся в выполнении проекта. Актуализируемые предметные знания по химии закрепляются, углубляются, расширяются в процессе работы над проектом и освоения нового знания учащимися.</w:t>
      </w:r>
    </w:p>
    <w:p w:rsidR="00A55F8C" w:rsidRDefault="00A55F8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Второй вид - урок, на котором могут использоваться проекты, выполненные отдельными учащимися или группами учащихся во внеурочное время по каким-либо темам химического содержания,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 xml:space="preserve"> проекты. На таких уроках учащиеся презентуют свой проект. В основном, это уроки обобщения и систематизации знаний по определённым темам.</w:t>
      </w:r>
    </w:p>
    <w:p w:rsidR="0099320C" w:rsidRPr="000D5334" w:rsidRDefault="0099320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В настоящее время можно заметить, что как в теории, так и в практике образования определились отличительные особенности традиционного подхода и проектного (на сегодняшний день инновационного): так называемые «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>», с одной стороны, и «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способностный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>», с другой. В таблице №1 приведены сравнительные особенности «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0D5334">
        <w:rPr>
          <w:rFonts w:ascii="Times New Roman" w:hAnsi="Times New Roman" w:cs="Times New Roman"/>
          <w:sz w:val="24"/>
          <w:szCs w:val="24"/>
        </w:rPr>
        <w:t>способностной</w:t>
      </w:r>
      <w:proofErr w:type="spellEnd"/>
      <w:r w:rsidRPr="000D5334">
        <w:rPr>
          <w:rFonts w:ascii="Times New Roman" w:hAnsi="Times New Roman" w:cs="Times New Roman"/>
          <w:sz w:val="24"/>
          <w:szCs w:val="24"/>
        </w:rPr>
        <w:t>» (для простоты и краткости будем называть их так) педагогики.</w:t>
      </w:r>
    </w:p>
    <w:p w:rsidR="0099320C" w:rsidRPr="000D5334" w:rsidRDefault="0099320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 xml:space="preserve">Таблица № 1 </w:t>
      </w:r>
      <w:r w:rsidRPr="0099320C">
        <w:rPr>
          <w:rFonts w:ascii="Times New Roman" w:hAnsi="Times New Roman" w:cs="Times New Roman"/>
          <w:b/>
          <w:sz w:val="24"/>
          <w:szCs w:val="24"/>
        </w:rPr>
        <w:t>Сравнительные особенности традиционного и проектного подхода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977"/>
        <w:gridCol w:w="4536"/>
      </w:tblGrid>
      <w:tr w:rsidR="0099320C" w:rsidRPr="000D5334" w:rsidTr="0099320C">
        <w:trPr>
          <w:trHeight w:hRule="exact"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сравнения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Знаниевая</w:t>
            </w:r>
            <w:proofErr w:type="spell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Способностная</w:t>
            </w:r>
            <w:proofErr w:type="spell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педагогика </w:t>
            </w:r>
          </w:p>
        </w:tc>
      </w:tr>
      <w:tr w:rsidR="0099320C" w:rsidRPr="000D5334" w:rsidTr="0099320C">
        <w:trPr>
          <w:trHeight w:hRule="exact" w:val="18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    знаний, умений, навыков.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Развитие   личности,   спо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   самостоятельно ставить и отыскивать ре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новых, нестандарт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проблем: создавать в ходе   проектной   деятель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 новые  продукты  -</w:t>
            </w:r>
            <w:r w:rsidR="00A5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проекты. </w:t>
            </w:r>
          </w:p>
        </w:tc>
      </w:tr>
      <w:tr w:rsidR="0099320C" w:rsidRPr="000D5334" w:rsidTr="0099320C">
        <w:trPr>
          <w:trHeight w:hRule="exact" w:val="6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характеристика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«Школа памяти»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«Школа развития» </w:t>
            </w:r>
          </w:p>
        </w:tc>
      </w:tr>
      <w:tr w:rsidR="0099320C" w:rsidRPr="000D5334" w:rsidTr="0099320C">
        <w:trPr>
          <w:trHeight w:hRule="exact" w:val="10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Преобладающий тип и характер взаимоотношений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Субъект-объектный</w:t>
            </w:r>
            <w:proofErr w:type="spellEnd"/>
            <w:proofErr w:type="gram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Субъект-субъектный</w:t>
            </w:r>
            <w:proofErr w:type="spellEnd"/>
            <w:proofErr w:type="gram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20C" w:rsidRPr="000D5334" w:rsidTr="0099320C">
        <w:trPr>
          <w:trHeight w:hRule="exact" w:val="4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Девиз педагога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«Делай как я»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«Я вместе с тобой», «Не навреди» </w:t>
            </w:r>
          </w:p>
        </w:tc>
      </w:tr>
      <w:tr w:rsidR="0099320C" w:rsidRPr="000D5334" w:rsidTr="0099320C">
        <w:trPr>
          <w:trHeight w:hRule="exact" w:val="9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       и стиль взаимодействия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Авторитарность, </w:t>
            </w:r>
            <w:proofErr w:type="spell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монологичность</w:t>
            </w:r>
            <w:proofErr w:type="spell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, закрытость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Демократичность, диалогичность, открытость, </w:t>
            </w:r>
            <w:proofErr w:type="spell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20C" w:rsidRPr="000D5334" w:rsidTr="0099320C">
        <w:trPr>
          <w:trHeight w:hRule="exact" w:val="7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Фронтальные, индивидуальные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Групповые, коллективные </w:t>
            </w:r>
          </w:p>
        </w:tc>
      </w:tr>
      <w:tr w:rsidR="0099320C" w:rsidRPr="000D5334" w:rsidTr="00A55349">
        <w:trPr>
          <w:trHeight w:hRule="exact" w:val="13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Иллюстративно-объяснительные, информационные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Проблемные: проблемного изложения;          </w:t>
            </w:r>
            <w:proofErr w:type="gramStart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,        эвристиче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ский;    исследовательский, рефлексивный </w:t>
            </w:r>
          </w:p>
        </w:tc>
      </w:tr>
      <w:tr w:rsidR="0099320C" w:rsidRPr="000D5334" w:rsidTr="00A55349">
        <w:trPr>
          <w:trHeight w:hRule="exact" w:val="8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принцип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«Продавливание»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«Выращивание» </w:t>
            </w:r>
          </w:p>
        </w:tc>
      </w:tr>
      <w:tr w:rsidR="0099320C" w:rsidRPr="000D5334" w:rsidTr="0099320C">
        <w:trPr>
          <w:trHeight w:hRule="exact" w:val="9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   тип деятельности, осваиваемый учеником.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Репродуктивный, воспроизводящий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Продуктивный, творческий, проблемный </w:t>
            </w:r>
          </w:p>
        </w:tc>
      </w:tr>
      <w:tr w:rsidR="0099320C" w:rsidRPr="000D5334" w:rsidTr="00FD36CA">
        <w:trPr>
          <w:trHeight w:hRule="exact" w:val="6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обучения»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Знания   -  репродуктивная деятельность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Проблемная  деятельность -</w:t>
            </w:r>
            <w:r w:rsidR="00FD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- знания </w:t>
            </w:r>
          </w:p>
        </w:tc>
      </w:tr>
      <w:tr w:rsidR="0099320C" w:rsidRPr="000D5334" w:rsidTr="00FD36CA">
        <w:trPr>
          <w:trHeight w:hRule="exact" w:val="8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усвоения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Заучивание,   деятельность по алгоритму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   мыслительная деятельность, рефлексия </w:t>
            </w:r>
          </w:p>
        </w:tc>
      </w:tr>
      <w:tr w:rsidR="0099320C" w:rsidRPr="000D5334" w:rsidTr="00FD36CA">
        <w:trPr>
          <w:trHeight w:hRule="exact" w:val="16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учителя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      информации, хранитель         норм         и традиций,      пропагандист предметно-дисциплинарных знаний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сотрудничества, консультант, управляющий    поисковой работой учащихся </w:t>
            </w:r>
          </w:p>
        </w:tc>
      </w:tr>
      <w:tr w:rsidR="0099320C" w:rsidRPr="000D5334" w:rsidTr="00FD36CA">
        <w:trPr>
          <w:trHeight w:hRule="exact" w:val="9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ученика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Пассивность, отсутствие интереса, отсутствие мо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тива к личностному росту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20C" w:rsidRPr="000D5334" w:rsidRDefault="0099320C" w:rsidP="00A5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34">
              <w:rPr>
                <w:rFonts w:ascii="Times New Roman" w:hAnsi="Times New Roman" w:cs="Times New Roman"/>
                <w:sz w:val="24"/>
                <w:szCs w:val="24"/>
              </w:rPr>
              <w:t>Активность,   наличие   мо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 к самосовершенство</w:t>
            </w:r>
            <w:r w:rsidRPr="000D533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ванию, наличие интереса к деятельности </w:t>
            </w:r>
          </w:p>
        </w:tc>
      </w:tr>
    </w:tbl>
    <w:p w:rsidR="00A55F8C" w:rsidRPr="000D5334" w:rsidRDefault="00A55F8C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3338" w:rsidRDefault="00EE3338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5334">
        <w:rPr>
          <w:rFonts w:ascii="Times New Roman" w:hAnsi="Times New Roman" w:cs="Times New Roman"/>
          <w:sz w:val="24"/>
          <w:szCs w:val="24"/>
        </w:rPr>
        <w:t>Метод проектов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</w:t>
      </w:r>
    </w:p>
    <w:p w:rsidR="004E0C1A" w:rsidRPr="000D5334" w:rsidRDefault="004E0C1A" w:rsidP="00A5534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29CE" w:rsidRPr="000D5334" w:rsidRDefault="002C5F90" w:rsidP="009329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34125" cy="4562475"/>
            <wp:effectExtent l="1905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29CE" w:rsidRDefault="00A55349" w:rsidP="00955332">
      <w:pPr>
        <w:rPr>
          <w:rFonts w:ascii="Times New Roman" w:hAnsi="Times New Roman" w:cs="Times New Roman"/>
          <w:b/>
          <w:sz w:val="24"/>
          <w:szCs w:val="24"/>
        </w:rPr>
      </w:pPr>
      <w:r w:rsidRPr="00A55349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A55349" w:rsidRDefault="00A55349" w:rsidP="00A55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349">
        <w:rPr>
          <w:rFonts w:ascii="Times New Roman" w:hAnsi="Times New Roman" w:cs="Times New Roman"/>
          <w:sz w:val="24"/>
          <w:szCs w:val="24"/>
        </w:rPr>
        <w:t>Организация проектной деятельности по химии. 8-9 классы./ Сост. С.Г. Щербакова. – Волгоград:</w:t>
      </w:r>
      <w:r>
        <w:rPr>
          <w:rFonts w:ascii="Times New Roman" w:hAnsi="Times New Roman" w:cs="Times New Roman"/>
          <w:sz w:val="24"/>
          <w:szCs w:val="24"/>
        </w:rPr>
        <w:t xml:space="preserve"> ИТД «Корифей»</w:t>
      </w:r>
      <w:r w:rsidR="00466B48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 xml:space="preserve">. -112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6B48" w:rsidRDefault="00466B48" w:rsidP="0046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349">
        <w:rPr>
          <w:rFonts w:ascii="Times New Roman" w:hAnsi="Times New Roman" w:cs="Times New Roman"/>
          <w:sz w:val="24"/>
          <w:szCs w:val="24"/>
        </w:rPr>
        <w:t>Организация пр</w:t>
      </w:r>
      <w:r>
        <w:rPr>
          <w:rFonts w:ascii="Times New Roman" w:hAnsi="Times New Roman" w:cs="Times New Roman"/>
          <w:sz w:val="24"/>
          <w:szCs w:val="24"/>
        </w:rPr>
        <w:t xml:space="preserve">оектной деятельности по химии. 10 </w:t>
      </w:r>
      <w:r w:rsidRPr="00A5534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./ Сост. Л</w:t>
      </w:r>
      <w:r w:rsidRPr="00A55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5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Назар</w:t>
      </w:r>
      <w:r w:rsidRPr="00A55349">
        <w:rPr>
          <w:rFonts w:ascii="Times New Roman" w:hAnsi="Times New Roman" w:cs="Times New Roman"/>
          <w:sz w:val="24"/>
          <w:szCs w:val="24"/>
        </w:rPr>
        <w:t>ова. – Волгоград:</w:t>
      </w:r>
      <w:r>
        <w:rPr>
          <w:rFonts w:ascii="Times New Roman" w:hAnsi="Times New Roman" w:cs="Times New Roman"/>
          <w:sz w:val="24"/>
          <w:szCs w:val="24"/>
        </w:rPr>
        <w:t xml:space="preserve"> ИТД «Корифей», 2007. -128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55349" w:rsidRPr="00A55349" w:rsidRDefault="00466B48" w:rsidP="00A55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Дидактика химии: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Заведений/М.С. Пак. – М.: Гуманитарный издательский центр ВЛАДОС, 2004. -315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7C4" w:rsidRPr="000D5334" w:rsidRDefault="00BD27C4" w:rsidP="00955332">
      <w:pPr>
        <w:rPr>
          <w:rFonts w:ascii="Times New Roman" w:hAnsi="Times New Roman" w:cs="Times New Roman"/>
          <w:sz w:val="24"/>
          <w:szCs w:val="24"/>
        </w:rPr>
      </w:pPr>
    </w:p>
    <w:p w:rsidR="00F90E20" w:rsidRPr="00340123" w:rsidRDefault="00F90E20">
      <w:pPr>
        <w:rPr>
          <w:i/>
        </w:rPr>
      </w:pPr>
    </w:p>
    <w:sectPr w:rsidR="00F90E20" w:rsidRPr="00340123" w:rsidSect="00A55349">
      <w:pgSz w:w="11906" w:h="16838"/>
      <w:pgMar w:top="1134" w:right="707" w:bottom="1134" w:left="993" w:header="708" w:footer="708" w:gutter="0"/>
      <w:pgBorders w:display="firstPage" w:offsetFrom="page">
        <w:top w:val="twistedLines2" w:sz="15" w:space="24" w:color="4C29E3"/>
        <w:left w:val="twistedLines2" w:sz="15" w:space="24" w:color="4C29E3"/>
        <w:bottom w:val="twistedLines2" w:sz="15" w:space="24" w:color="4C29E3"/>
        <w:right w:val="twistedLines2" w:sz="15" w:space="24" w:color="4C29E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5CCC"/>
    <w:multiLevelType w:val="hybridMultilevel"/>
    <w:tmpl w:val="F4CC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47A"/>
    <w:rsid w:val="002C5F90"/>
    <w:rsid w:val="003277A7"/>
    <w:rsid w:val="00340123"/>
    <w:rsid w:val="00466B48"/>
    <w:rsid w:val="0048418E"/>
    <w:rsid w:val="004E0C1A"/>
    <w:rsid w:val="005B2AD4"/>
    <w:rsid w:val="00761842"/>
    <w:rsid w:val="007F047A"/>
    <w:rsid w:val="009329CE"/>
    <w:rsid w:val="00955332"/>
    <w:rsid w:val="0099320C"/>
    <w:rsid w:val="00A55349"/>
    <w:rsid w:val="00A55F8C"/>
    <w:rsid w:val="00AD42C9"/>
    <w:rsid w:val="00BD2013"/>
    <w:rsid w:val="00BD27C4"/>
    <w:rsid w:val="00EE3338"/>
    <w:rsid w:val="00F90E20"/>
    <w:rsid w:val="00FA56A3"/>
    <w:rsid w:val="00FD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800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r>
              <a:rPr lang="ru-RU" sz="2800"/>
              <a:t>Количество запоминания учебного материала в %</a:t>
            </a:r>
          </a:p>
        </c:rich>
      </c:tx>
      <c:layout>
        <c:manualLayout>
          <c:xMode val="edge"/>
          <c:yMode val="edge"/>
          <c:x val="0"/>
          <c:y val="0"/>
        </c:manualLayout>
      </c:layout>
      <c:spPr>
        <a:noFill/>
        <a:ln w="25354">
          <a:noFill/>
        </a:ln>
      </c:spPr>
    </c:title>
    <c:plotArea>
      <c:layout>
        <c:manualLayout>
          <c:layoutTarget val="inner"/>
          <c:xMode val="edge"/>
          <c:yMode val="edge"/>
          <c:x val="9.952038369304568E-2"/>
          <c:y val="0.32971014492753631"/>
          <c:w val="0.56834532374100721"/>
          <c:h val="0.5833333333333335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лекция, доклад</c:v>
                </c:pt>
              </c:strCache>
            </c:strRef>
          </c:tx>
          <c:spPr>
            <a:solidFill>
              <a:srgbClr val="009999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rgbClr val="336699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наглядность</c:v>
                </c:pt>
              </c:strCache>
            </c:strRef>
          </c:tx>
          <c:spPr>
            <a:solidFill>
              <a:srgbClr val="00CCFF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дискуссия</c:v>
                </c:pt>
              </c:strCache>
            </c:strRef>
          </c:tx>
          <c:spPr>
            <a:solidFill>
              <a:srgbClr val="FFCC00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практика</c:v>
                </c:pt>
              </c:strCache>
            </c:strRef>
          </c:tx>
          <c:spPr>
            <a:solidFill>
              <a:srgbClr val="003366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обучение сообща (в группе)</c:v>
                </c:pt>
              </c:strCache>
            </c:strRef>
          </c:tx>
          <c:spPr>
            <a:solidFill>
              <a:srgbClr val="E5FFFF"/>
            </a:solidFill>
            <a:ln w="12677">
              <a:solidFill>
                <a:srgbClr val="000000"/>
              </a:solidFill>
              <a:prstDash val="solid"/>
            </a:ln>
          </c:spPr>
          <c:dLbls>
            <c:spPr>
              <a:noFill/>
              <a:ln w="25354">
                <a:noFill/>
              </a:ln>
            </c:spPr>
            <c:txPr>
              <a:bodyPr/>
              <a:lstStyle/>
              <a:p>
                <a:pPr>
                  <a:defRPr sz="2396" b="1" i="0" u="none" strike="noStrike" baseline="0">
                    <a:solidFill>
                      <a:srgbClr val="000000"/>
                    </a:solidFill>
                    <a:latin typeface="Garamond"/>
                    <a:ea typeface="Garamond"/>
                    <a:cs typeface="Garamond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90</c:v>
                </c:pt>
              </c:numCache>
            </c:numRef>
          </c:val>
        </c:ser>
        <c:dLbls>
          <c:showVal val="1"/>
        </c:dLbls>
        <c:gapWidth val="100"/>
        <c:axId val="65402368"/>
        <c:axId val="65403904"/>
      </c:barChart>
      <c:catAx>
        <c:axId val="65402368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396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  <c:crossAx val="65403904"/>
        <c:crosses val="autoZero"/>
        <c:auto val="1"/>
        <c:lblAlgn val="ctr"/>
        <c:lblOffset val="100"/>
        <c:tickLblSkip val="1"/>
        <c:tickMarkSkip val="1"/>
      </c:catAx>
      <c:valAx>
        <c:axId val="6540390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396" b="1" i="0" u="none" strike="noStrike" baseline="0">
                <a:solidFill>
                  <a:srgbClr val="000000"/>
                </a:solidFill>
                <a:latin typeface="Garamond"/>
                <a:ea typeface="Garamond"/>
                <a:cs typeface="Garamond"/>
              </a:defRPr>
            </a:pPr>
            <a:endParaRPr lang="ru-RU"/>
          </a:p>
        </c:txPr>
        <c:crossAx val="65402368"/>
        <c:crosses val="autoZero"/>
        <c:crossBetween val="between"/>
      </c:valAx>
      <c:spPr>
        <a:noFill/>
        <a:ln w="12677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021103422678242"/>
          <c:y val="4.6563812018662079E-4"/>
          <c:w val="0.3057419927772187"/>
          <c:h val="0.97169847506013751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837" b="1" i="0" u="none" strike="noStrike" baseline="0">
              <a:solidFill>
                <a:srgbClr val="000000"/>
              </a:solidFill>
              <a:latin typeface="Garamond"/>
              <a:ea typeface="Garamond"/>
              <a:cs typeface="Garamond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Garamond"/>
          <a:ea typeface="Garamond"/>
          <a:cs typeface="Garamond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8120-4A72-410D-9D26-16A238C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cp:lastPrinted>2013-01-18T09:54:00Z</cp:lastPrinted>
  <dcterms:created xsi:type="dcterms:W3CDTF">2013-01-08T04:53:00Z</dcterms:created>
  <dcterms:modified xsi:type="dcterms:W3CDTF">2013-01-18T10:02:00Z</dcterms:modified>
</cp:coreProperties>
</file>