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DB" w:rsidRPr="0031209F" w:rsidRDefault="00865DDB" w:rsidP="00865DD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1209F">
        <w:rPr>
          <w:b/>
          <w:sz w:val="28"/>
          <w:szCs w:val="28"/>
        </w:rPr>
        <w:t xml:space="preserve">Проектная  технология </w:t>
      </w:r>
    </w:p>
    <w:p w:rsidR="00865DDB" w:rsidRPr="0031209F" w:rsidRDefault="00865DDB" w:rsidP="00865DD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1209F">
        <w:rPr>
          <w:b/>
          <w:sz w:val="28"/>
          <w:szCs w:val="28"/>
        </w:rPr>
        <w:t>как основа продуктивной деятельности учащихся при обучении химии</w:t>
      </w:r>
    </w:p>
    <w:p w:rsidR="00865DDB" w:rsidRPr="0031209F" w:rsidRDefault="00865DDB" w:rsidP="00865D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="0" w:afterAutospacing="0"/>
        <w:ind w:left="5220" w:firstLine="54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Плохой учитель преподает истину, хороший учит ее находить.</w:t>
      </w:r>
    </w:p>
    <w:p w:rsidR="00865DDB" w:rsidRPr="0031209F" w:rsidRDefault="00865DDB" w:rsidP="00865DDB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31209F">
        <w:rPr>
          <w:i/>
          <w:sz w:val="28"/>
          <w:szCs w:val="28"/>
        </w:rPr>
        <w:t>А.Дистервег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Стремительные изменения, происходящие в обществе, требуют от человека новых качеств. Прежде всего, конечно, речь идет о способности к творческому мышлению, самостоятельности  в принятии решений, инициативности. Естественно, что задачи по формированию этих качеств возлагаются в первую очередь на школу.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Что нужно современному ученику, чтобы комфортно чувствовать себя в новых социально-экономических условиях? Общество заинтересовано в специалистах, способных самостоятельно и активно действовать, принимать решения, быстро адаптироваться к изменяющимся условиям жизни.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Традиционный подход к процессу обучения не позволяет создавать реальные условия для качественного решения этой задачи. Внимание современного учителя должно быть направлено на вовлечение каждого школьника в активную познавательную деятельность. Это  возможно при использовании новых образовательных и информационных технологий.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Одна из таких технологий – метод проектов. Метод проектов, называемый технологией четвертого поколения, реализует личностно-деятельный подход в обучении.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Проект означает самостоятельное доскональное изучение какой-либо проблемы и, как правило, является результатом коллективной работы, предусматривающей сотрудничество учащихся. Школьники получают задание, которое не является обязательными для каждого, но заинтересованные ребята работают в паре, группе или индивидуально. Они качественно улучшают знания и повышают оценку за определенную тему.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b/>
          <w:sz w:val="28"/>
          <w:szCs w:val="28"/>
        </w:rPr>
      </w:pPr>
      <w:r w:rsidRPr="0031209F">
        <w:rPr>
          <w:b/>
          <w:sz w:val="28"/>
          <w:szCs w:val="28"/>
        </w:rPr>
        <w:t xml:space="preserve">В чем суть проектного обучения?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Создаются условия, при которых учащиеся самостоятельно и охотно приобретают недостающие знания из разных источников, учатся пользоваться приобретенными знаниями при решении  познавательных задач, приобретают коллективные умения работать в различных группах, развивая в себе системное мышление.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Основой метода проектов является его практическая направленность на результат, который  обязательно должен быть таким, чтобы его можно было увидеть, осмыслить, реально применить в практической деятельности.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Для достижения такого результата учащиеся должны </w:t>
      </w:r>
      <w:proofErr w:type="gramStart"/>
      <w:r w:rsidRPr="0031209F">
        <w:rPr>
          <w:sz w:val="28"/>
          <w:szCs w:val="28"/>
        </w:rPr>
        <w:t>обладать способностью видеть</w:t>
      </w:r>
      <w:proofErr w:type="gramEnd"/>
      <w:r w:rsidRPr="0031209F">
        <w:rPr>
          <w:sz w:val="28"/>
          <w:szCs w:val="28"/>
        </w:rPr>
        <w:t xml:space="preserve"> проблемы: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• самостоятельно разрабатывать варианты их решения, привлекая разносторонние знания: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• прогнозировать результат;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lastRenderedPageBreak/>
        <w:t>• корректировать план своих действий в зависимости от ситуации;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• использовать учебно-познавательные приемы с обязательной презентацией результатов.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b/>
          <w:sz w:val="28"/>
          <w:szCs w:val="28"/>
        </w:rPr>
      </w:pPr>
      <w:r w:rsidRPr="0031209F">
        <w:rPr>
          <w:b/>
          <w:sz w:val="28"/>
          <w:szCs w:val="28"/>
        </w:rPr>
        <w:t xml:space="preserve">Метод проектов как педагогическая технология включает в себя: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31209F">
        <w:rPr>
          <w:b/>
          <w:sz w:val="28"/>
          <w:szCs w:val="28"/>
          <w:lang w:val="en-US"/>
        </w:rPr>
        <w:t>I</w:t>
      </w:r>
      <w:r w:rsidRPr="0031209F">
        <w:rPr>
          <w:b/>
          <w:sz w:val="28"/>
          <w:szCs w:val="28"/>
        </w:rPr>
        <w:t>. Совокупность проблемных методов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0;margin-top:4.45pt;width:450pt;height:153pt;z-index:251660288" coordorigin="981,9594" coordsize="10260,37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81;top:9774;width:2891;height:1260">
              <v:textbox style="mso-next-textbox:#_x0000_s1027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исследовательских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поисковых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(научные исследования)</w:t>
                    </w:r>
                  </w:p>
                </w:txbxContent>
              </v:textbox>
            </v:shape>
            <v:shape id="_x0000_s1028" type="#_x0000_t202" style="position:absolute;left:8181;top:9954;width:3060;height:1080">
              <v:textbox style="mso-next-textbox:#_x0000_s1028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 w:rsidRPr="00A7701D">
                      <w:rPr>
                        <w:sz w:val="20"/>
                        <w:szCs w:val="20"/>
                      </w:rPr>
                      <w:t>роле-игровые</w:t>
                    </w:r>
                    <w:proofErr w:type="gramEnd"/>
                  </w:p>
                  <w:p w:rsidR="00865DDB" w:rsidRDefault="00865DDB" w:rsidP="00865DDB">
                    <w:pPr>
                      <w:jc w:val="center"/>
                    </w:pPr>
                    <w:r w:rsidRPr="00A7701D">
                      <w:rPr>
                        <w:sz w:val="20"/>
                        <w:szCs w:val="20"/>
                      </w:rPr>
                      <w:t>(участники принимают на себя определенные роли)</w:t>
                    </w:r>
                  </w:p>
                </w:txbxContent>
              </v:textbox>
            </v:shape>
            <v:shape id="_x0000_s1029" type="#_x0000_t202" style="position:absolute;left:1521;top:11214;width:3960;height:720">
              <v:textbox style="mso-next-textbox:#_x0000_s1029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ознакомительно-ориентировочных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(нахождения информации)</w:t>
                    </w:r>
                  </w:p>
                </w:txbxContent>
              </v:textbox>
            </v:shape>
            <v:shape id="_x0000_s1030" type="#_x0000_t202" style="position:absolute;left:7641;top:11394;width:3600;height:1080">
              <v:textbox style="mso-next-textbox:#_x0000_s1030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практически ориентированных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(решение определенной</w:t>
                    </w:r>
                    <w:r>
                      <w:t xml:space="preserve"> </w:t>
                    </w:r>
                    <w:r w:rsidRPr="00A7701D">
                      <w:rPr>
                        <w:sz w:val="20"/>
                        <w:szCs w:val="20"/>
                      </w:rPr>
                      <w:t>практической проблемы)</w:t>
                    </w:r>
                  </w:p>
                </w:txbxContent>
              </v:textbox>
            </v:shape>
            <v:shape id="_x0000_s1031" type="#_x0000_t202" style="position:absolute;left:4941;top:12114;width:2520;height:1260">
              <v:textbox style="mso-next-textbox:#_x0000_s1031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творческих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(в творческой форме отчет и т.д.)</w:t>
                    </w:r>
                  </w:p>
                </w:txbxContent>
              </v:textbox>
            </v:shape>
            <v:line id="_x0000_s1032" style="position:absolute;flip:x" from="3850,9594" to="5470,10314">
              <v:stroke endarrow="block"/>
            </v:line>
            <v:line id="_x0000_s1033" style="position:absolute;flip:x" from="4941,9774" to="5661,11214">
              <v:stroke endarrow="block"/>
            </v:line>
            <v:line id="_x0000_s1034" style="position:absolute" from="6021,9954" to="6021,12114">
              <v:stroke endarrow="block"/>
            </v:line>
            <v:line id="_x0000_s1035" style="position:absolute" from="6201,9774" to="8001,11394">
              <v:stroke endarrow="block"/>
            </v:line>
            <v:line id="_x0000_s1036" style="position:absolute" from="6561,9594" to="8181,10314">
              <v:stroke endarrow="block"/>
            </v:line>
          </v:group>
        </w:pic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1209F">
        <w:rPr>
          <w:b/>
          <w:sz w:val="28"/>
          <w:szCs w:val="28"/>
          <w:lang w:val="en-US"/>
        </w:rPr>
        <w:t>II</w:t>
      </w:r>
      <w:r w:rsidRPr="0031209F">
        <w:rPr>
          <w:b/>
          <w:sz w:val="28"/>
          <w:szCs w:val="28"/>
        </w:rPr>
        <w:t>. По предметно-содержательной области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7" style="position:absolute;left:0;text-align:left;margin-left:-27pt;margin-top:9.25pt;width:513pt;height:54pt;z-index:251661312" coordorigin="1161,13554" coordsize="10260,1080">
            <v:shape id="_x0000_s1038" type="#_x0000_t202" style="position:absolute;left:1161;top:13734;width:2891;height:720">
              <v:textbox style="mso-next-textbox:#_x0000_s1038">
                <w:txbxContent>
                  <w:p w:rsidR="00865DDB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Монопроект </w:t>
                    </w:r>
                  </w:p>
                  <w:p w:rsidR="00865DDB" w:rsidRPr="00F07CA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 рамках одного предмета</w:t>
                    </w:r>
                  </w:p>
                </w:txbxContent>
              </v:textbox>
            </v:shape>
            <v:shape id="_x0000_s1039" type="#_x0000_t202" style="position:absolute;left:8361;top:13554;width:3060;height:1080">
              <v:textbox style="mso-next-textbox:#_x0000_s1039">
                <w:txbxContent>
                  <w:p w:rsidR="00865DDB" w:rsidRPr="00F07CA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межпредметный</w:t>
                    </w:r>
                    <w:r w:rsidRPr="00F07CAD">
                      <w:rPr>
                        <w:sz w:val="20"/>
                        <w:szCs w:val="20"/>
                      </w:rPr>
                      <w:t xml:space="preserve"> проект затрагивают 2-3 предмета (</w:t>
                    </w:r>
                    <w:proofErr w:type="gramStart"/>
                    <w:r w:rsidRPr="00F07CAD">
                      <w:rPr>
                        <w:sz w:val="20"/>
                        <w:szCs w:val="20"/>
                      </w:rPr>
                      <w:t>естественнонаучные</w:t>
                    </w:r>
                    <w:proofErr w:type="gramEnd"/>
                    <w:r w:rsidRPr="00F07CAD">
                      <w:rPr>
                        <w:sz w:val="20"/>
                        <w:szCs w:val="20"/>
                      </w:rPr>
                      <w:t>, экологические)</w:t>
                    </w:r>
                  </w:p>
                </w:txbxContent>
              </v:textbox>
            </v:shape>
            <v:line id="_x0000_s1040" style="position:absolute;flip:x" from="4030,13554" to="6021,14274">
              <v:stroke endarrow="block"/>
            </v:line>
            <v:line id="_x0000_s1041" style="position:absolute" from="6381,13554" to="8361,14274">
              <v:stroke endarrow="block"/>
            </v:line>
          </v:group>
        </w:pic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31209F">
        <w:rPr>
          <w:b/>
          <w:sz w:val="28"/>
          <w:szCs w:val="28"/>
          <w:lang w:val="en-US"/>
        </w:rPr>
        <w:t>III</w:t>
      </w:r>
      <w:r w:rsidRPr="0031209F">
        <w:rPr>
          <w:b/>
          <w:sz w:val="28"/>
          <w:szCs w:val="28"/>
        </w:rPr>
        <w:t>. По характеру контактов учеников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2" style="position:absolute;left:0;text-align:left;margin-left:-18pt;margin-top:.05pt;width:513pt;height:60pt;z-index:251662336" coordorigin="1161,1674" coordsize="10260,1200">
            <v:shape id="_x0000_s1043" type="#_x0000_t202" style="position:absolute;left:1161;top:1914;width:2891;height:960">
              <v:textbox style="mso-next-textbox:#_x0000_s1043">
                <w:txbxContent>
                  <w:p w:rsidR="00865DDB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внутренний </w:t>
                    </w:r>
                  </w:p>
                  <w:p w:rsidR="00865DDB" w:rsidRPr="00F07CA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(в одном классе, между школами, внутри региона)</w:t>
                    </w:r>
                  </w:p>
                </w:txbxContent>
              </v:textbox>
            </v:shape>
            <v:shape id="_x0000_s1044" type="#_x0000_t202" style="position:absolute;left:8361;top:1674;width:3060;height:1080">
              <v:textbox style="mso-next-textbox:#_x0000_s1044">
                <w:txbxContent>
                  <w:p w:rsidR="00865DDB" w:rsidRPr="00F07CA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международный</w:t>
                    </w:r>
                  </w:p>
                  <w:p w:rsidR="00865DDB" w:rsidRPr="00F07CA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 w:rsidRPr="00F07CAD">
                      <w:rPr>
                        <w:sz w:val="20"/>
                        <w:szCs w:val="20"/>
                      </w:rPr>
                      <w:t>(уча</w:t>
                    </w:r>
                    <w:r>
                      <w:rPr>
                        <w:sz w:val="20"/>
                        <w:szCs w:val="20"/>
                      </w:rPr>
                      <w:t>щиеся представители разных стран (средства информационных технологий)</w:t>
                    </w:r>
                    <w:proofErr w:type="gramEnd"/>
                  </w:p>
                </w:txbxContent>
              </v:textbox>
            </v:shape>
            <v:line id="_x0000_s1045" style="position:absolute;flip:x" from="4041,1674" to="6032,2214">
              <v:stroke endarrow="block"/>
            </v:line>
            <v:line id="_x0000_s1046" style="position:absolute" from="6381,1674" to="8361,2214">
              <v:stroke endarrow="block"/>
            </v:line>
          </v:group>
        </w:pic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31209F">
        <w:rPr>
          <w:b/>
          <w:sz w:val="28"/>
          <w:szCs w:val="28"/>
          <w:lang w:val="en-US"/>
        </w:rPr>
        <w:t>IV</w:t>
      </w:r>
      <w:r w:rsidRPr="0031209F">
        <w:rPr>
          <w:b/>
          <w:sz w:val="28"/>
          <w:szCs w:val="28"/>
        </w:rPr>
        <w:t>. По количеству участников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7" style="position:absolute;left:0;text-align:left;margin-left:0;margin-top:4.3pt;width:449.2pt;height:99pt;z-index:251663360" coordorigin="1881,3834" coordsize="8984,1980">
            <v:shape id="_x0000_s1048" type="#_x0000_t202" style="position:absolute;left:1881;top:4160;width:2536;height:754">
              <v:textbox style="mso-next-textbox:#_x0000_s1048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индивидуальный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один участник</w:t>
                    </w:r>
                    <w:r w:rsidRPr="00A7701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49" type="#_x0000_t202" style="position:absolute;left:8181;top:3834;width:2684;height:875">
              <v:textbox style="mso-next-textbox:#_x0000_s1049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коллективный</w:t>
                    </w:r>
                  </w:p>
                  <w:p w:rsidR="00865DDB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 w:rsidRPr="00A7701D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 xml:space="preserve">класс, кружок, </w:t>
                    </w:r>
                    <w:proofErr w:type="gramEnd"/>
                  </w:p>
                  <w:p w:rsidR="00865DDB" w:rsidRDefault="00865DDB" w:rsidP="00865DDB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научное общество</w:t>
                    </w:r>
                    <w:r w:rsidRPr="00A7701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50" type="#_x0000_t202" style="position:absolute;left:2421;top:5094;width:3473;height:669">
              <v:textbox style="mso-next-textbox:#_x0000_s1050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парный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пара участников</w:t>
                    </w:r>
                    <w:r w:rsidRPr="00A7701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51" type="#_x0000_t202" style="position:absolute;left:6561;top:5094;width:3158;height:720">
              <v:textbox style="mso-next-textbox:#_x0000_s1051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групповой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группа участников</w:t>
                    </w:r>
                    <w:r w:rsidRPr="00A7701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line id="_x0000_s1052" style="position:absolute;flip:x" from="4398,4014" to="5819,4597">
              <v:stroke endarrow="block"/>
            </v:line>
            <v:line id="_x0000_s1053" style="position:absolute;flip:x" from="4941,4160" to="5986,5094">
              <v:stroke endarrow="block"/>
            </v:line>
            <v:line id="_x0000_s1054" style="position:absolute" from="6460,4160" to="7461,5094">
              <v:stroke endarrow="block"/>
            </v:line>
            <v:line id="_x0000_s1055" style="position:absolute" from="6776,4014" to="8181,4374">
              <v:stroke endarrow="block"/>
            </v:line>
          </v:group>
        </w:pic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Default="00865DDB" w:rsidP="00865DDB">
      <w:pPr>
        <w:pStyle w:val="a3"/>
        <w:spacing w:before="0" w:beforeAutospacing="0" w:afterLines="30" w:afterAutospacing="0"/>
        <w:jc w:val="both"/>
        <w:rPr>
          <w:sz w:val="28"/>
          <w:szCs w:val="28"/>
        </w:rPr>
      </w:pPr>
    </w:p>
    <w:p w:rsidR="00865DDB" w:rsidRDefault="00865DDB" w:rsidP="00865DDB">
      <w:pPr>
        <w:pStyle w:val="a3"/>
        <w:spacing w:before="0" w:beforeAutospacing="0" w:afterLines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65DDB" w:rsidRDefault="00865DDB" w:rsidP="00865DDB">
      <w:pPr>
        <w:pStyle w:val="a3"/>
        <w:spacing w:before="0" w:beforeAutospacing="0" w:afterLines="30" w:afterAutospacing="0"/>
        <w:jc w:val="both"/>
        <w:rPr>
          <w:sz w:val="28"/>
          <w:szCs w:val="28"/>
        </w:rPr>
      </w:pPr>
    </w:p>
    <w:p w:rsidR="00865DDB" w:rsidRDefault="00865DDB" w:rsidP="00865DDB">
      <w:pPr>
        <w:pStyle w:val="a3"/>
        <w:spacing w:before="0" w:beforeAutospacing="0" w:afterLines="30" w:afterAutospacing="0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31209F">
        <w:rPr>
          <w:b/>
          <w:sz w:val="28"/>
          <w:szCs w:val="28"/>
          <w:lang w:val="en-US"/>
        </w:rPr>
        <w:t>V</w:t>
      </w:r>
      <w:r w:rsidRPr="0031209F">
        <w:rPr>
          <w:b/>
          <w:sz w:val="28"/>
          <w:szCs w:val="28"/>
        </w:rPr>
        <w:t>. По продолжительности выполнения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6" style="position:absolute;left:0;text-align:left;margin-left:9pt;margin-top:13.25pt;width:450pt;height:90pt;z-index:251664384" coordorigin="1701,6174" coordsize="9000,1800">
            <v:shape id="_x0000_s1057" type="#_x0000_t202" style="position:absolute;left:1701;top:6500;width:2536;height:394">
              <v:textbox style="mso-next-textbox:#_x0000_s1057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краткосрочность</w:t>
                    </w:r>
                  </w:p>
                </w:txbxContent>
              </v:textbox>
            </v:shape>
            <v:shape id="_x0000_s1058" type="#_x0000_t202" style="position:absolute;left:8017;top:6645;width:2684;height:875">
              <v:textbox style="mso-next-textbox:#_x0000_s1058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долгосрочный</w:t>
                    </w:r>
                  </w:p>
                  <w:p w:rsidR="00865DDB" w:rsidRDefault="00865DDB" w:rsidP="00865DDB">
                    <w:pPr>
                      <w:jc w:val="center"/>
                    </w:pPr>
                    <w:r w:rsidRPr="00A7701D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от 1 до нескольких месяцев</w:t>
                    </w:r>
                    <w:r w:rsidRPr="00A7701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059" type="#_x0000_t202" style="position:absolute;left:4581;top:7254;width:3110;height:720">
              <v:textbox style="mso-next-textbox:#_x0000_s1059">
                <w:txbxContent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средней продолжительности </w:t>
                    </w:r>
                  </w:p>
                  <w:p w:rsidR="00865DDB" w:rsidRPr="00A7701D" w:rsidRDefault="00865DDB" w:rsidP="00865D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7701D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от недели до месяца</w:t>
                    </w:r>
                    <w:r w:rsidRPr="00A7701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line id="_x0000_s1060" style="position:absolute;flip:x" from="4221,6174" to="6201,6714">
              <v:stroke endarrow="block"/>
            </v:line>
            <v:line id="_x0000_s1061" style="position:absolute;flip:x" from="6381,6354" to="6381,7254">
              <v:stroke endarrow="block"/>
            </v:line>
            <v:line id="_x0000_s1062" style="position:absolute" from="6561,6174" to="7982,6757">
              <v:stroke endarrow="block"/>
            </v:line>
          </v:group>
        </w:pic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Научно-исследовательская  работа в школе многоэтапна, содержит много компонентов, составляющих частей. Для освоения навыков исследовательской работы на уроках химии основная нагрузка ложится на лабораторный практикум, который является сочетанием экспериментальной задачи, расчетной части и теоретической работы в виде формирования научной гипотезы и выводов и отражает основные этапы научно-исследовательской деятельности. Приобретенные навыки экспериментальной работы и освоение принципов исследовательской деятельности находят свое дальнейшее развитие в разработке проектов в области химии, экологии. Обучая учащихся синтезу, анализу, аналогии, знакомя их с основными методологическими принципами такого рода деятельности,  я готовлю ученика к осознанию необходимости самостоятельной исследовательской работы как наиболее полной формы реализации их творческого потенциала, самораскрытия и самореализации личности. </w:t>
      </w:r>
    </w:p>
    <w:p w:rsidR="00865DDB" w:rsidRDefault="00865DDB" w:rsidP="00865DDB">
      <w:pPr>
        <w:ind w:left="-142" w:firstLine="425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Эту работу можно начинать с первых уроков химии. Например, в теме: «Что изучает химия? Каков путь изменения этого предмета?», можно  предложить для исследования вопрос: зачем нужно изучать химию? Создается, как бы, мини педагогическая мастерская, где каждый ученик делится своим жизненным опытом, знаниями, которые складываются в совместную научную копилку. Каждой паре учащихся предлагаю научно-популярную литературу по вопросам прикладной химии, через 10 минут эта «копилка» пополняется дополнительными сведениями. То есть мы совместно подходим к осознанию значимости данной науки и можем оценить высказывание нашего знаменитого соотечественника М.В.Ломоносова: </w:t>
      </w:r>
      <w:r>
        <w:rPr>
          <w:sz w:val="28"/>
          <w:szCs w:val="28"/>
        </w:rPr>
        <w:t xml:space="preserve"> </w:t>
      </w:r>
      <w:r w:rsidRPr="0031209F">
        <w:rPr>
          <w:sz w:val="28"/>
          <w:szCs w:val="28"/>
        </w:rPr>
        <w:t>«Широко распростирает химия руки свои в дела человеческие».</w:t>
      </w:r>
      <w:r>
        <w:rPr>
          <w:sz w:val="28"/>
          <w:szCs w:val="28"/>
        </w:rPr>
        <w:t xml:space="preserve">  И</w:t>
      </w:r>
      <w:r w:rsidRPr="0031209F">
        <w:rPr>
          <w:sz w:val="28"/>
          <w:szCs w:val="28"/>
        </w:rPr>
        <w:t>так, шаг за шагом, от собирания фактов к обобщению,</w:t>
      </w:r>
      <w:r w:rsidRPr="00414A07">
        <w:rPr>
          <w:sz w:val="28"/>
          <w:szCs w:val="28"/>
        </w:rPr>
        <w:t xml:space="preserve"> </w:t>
      </w:r>
      <w:r>
        <w:rPr>
          <w:sz w:val="28"/>
          <w:szCs w:val="28"/>
        </w:rPr>
        <w:t>мои ученики устойчиво осваивают</w:t>
      </w:r>
      <w:r w:rsidRPr="0031209F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ные химические понятия и законы,</w:t>
      </w:r>
      <w:r w:rsidRPr="00780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демонстрируя при этом высокие учебные достижения.  За последние три года качество знаний в моих  классах стабильно и составляет в среднем 58 % при 100%-ной обученности. Ежегодно выпускники 9,11 классов сдают химию как экзамен по выбору. В  2009-2010  учебном году средний балл по химии составил  47,5 балла, в 2010-2011  - 69,5 балла, 2011-2012- 76 баллов, что выше городского и краевого результата.  Все учащиеся, сдававшие ЕГЭ по химии, в настоящее время успешно обучаются  в различных вузах Москвы, Санкт-Петербурга и    других городах Российской Федерации.  </w:t>
      </w:r>
    </w:p>
    <w:p w:rsidR="00865DDB" w:rsidRPr="007C1198" w:rsidRDefault="00865DDB" w:rsidP="00865DDB">
      <w:pPr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принимают участие в олимпиадах различного уровня.  В 2011 году ученица 10 класса Акопян Лаура стала победителем муниципального этапа всероссийской олимпиады  школьников по биологии.  </w:t>
      </w:r>
      <w:proofErr w:type="gramStart"/>
      <w:r>
        <w:rPr>
          <w:sz w:val="28"/>
          <w:szCs w:val="28"/>
        </w:rPr>
        <w:t xml:space="preserve">В 2010-2011 учебном году ученица  9 класса Акопян Лаура,  ученица 10 класса  Ищенко Марина и ученик </w:t>
      </w:r>
      <w:r>
        <w:rPr>
          <w:sz w:val="28"/>
          <w:szCs w:val="28"/>
        </w:rPr>
        <w:lastRenderedPageBreak/>
        <w:t>11 класса Карагодский Виталий стали призерами муниципального этапа всероссийской олимпиады школьников по химии, а в  2013-2014 году призеры по химии – Арутюнова Елена  и  Гузенко Алена, ученицы 10 класса, по биологии-Зинченко Ольга, Гузенко Алена и Арутюнова Елена, ученицы 10 класса и Гралова Юлия, ученица 11</w:t>
      </w:r>
      <w:proofErr w:type="gramEnd"/>
      <w:r>
        <w:rPr>
          <w:sz w:val="28"/>
          <w:szCs w:val="28"/>
        </w:rPr>
        <w:t xml:space="preserve"> класса.</w:t>
      </w:r>
    </w:p>
    <w:p w:rsidR="00865DDB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являюсь  руководителем секции химии школьной Малой академии наук. Учащиеся, занимающиеся проектной деятельностью,  ежегодно получают  призовые места на научно-практических конференциях различного уровня. Их работы отличаются глубоким анализом изучаемой проблемы, наличием экспериментальной части. Лауреатами Всероссийского конкурса «Национальное достояние России» стали: Карагодский Виталий (2009г.). Участниками  фестиваля исследовательских и творческих работ  учащихся «Портфолио» являются Пивнев Михаил и Карагодский Виталий («Качество гигиенических моющих средств Кубани в условиях рыночной экономики»). Победителем краевого конкурса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 научно-прикладных  и исследовательских проектов  по охране водных ресурсов края стала Чупина Ирина (2008г.). Победители конкурса исследовательских проектов при СКИБИИТ «Бизнес в молодежном предпринимательстве» - Ткач Екатерина и Карагодский Виталий (2008г.), Губа Татьяна и Чнаваян Мариам (2010г.). Участник краевой научно-практической конференции «Эврика» при Малой академии наук учащихся Кубани – Карагодский Виталий (2008г.) (Антропогенное воздействие на экосистему «Городское водохранилище»). Лауреаты Всероссийского молодежного форума по проблемам культурного наследия, экологии и безопасности жизнедеятельности «ЮНЭКО – 2009» -Карагодский Виталий, Пивнев Михаил, Чнаваян Мариам. Участники Всероссийского фестиваля научно – исследовательских и творческих работ учащихся «Портфолио» - Пивнев Михаил, Карагодский Виталий, Мусатова Ксения, Чнаваян Мариам (2008,2009,2010г.). Победитель зонального этапа краевой научно – практической конференции «Эврика» Малой академии наук учащихся Кубани -2010 –Пивнев Михаил. Лауреаты Всероссийского конкурса «Первые шаги в науке» - Сагатдинова Карина и Мчедлишвили Майя. Победители(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 конкурса исследовательских проектов при СКИБИИТ (2009г.) «Сегодня школьник – завтра бизнесмен» - Ткач Екатерина, Карагодский Виталий, Пивнев Михаил. Победитель муниципального этапа краевого конкурса научно – исследовательских и прикладных проектов по теме охраны и восстановления водных ресурсов – Мусатова Ксения (2010 г.). Победители муниципального  этапа краевой научно-практической конференции «Эврика» Малой академии наук учащихся Кубани в 2011-2012 учебном году- Акопян Лаура, Зинченко Ольга. АкопянЛаура - 2011 г. призер – диплом </w:t>
      </w:r>
      <w:r>
        <w:rPr>
          <w:sz w:val="28"/>
          <w:szCs w:val="28"/>
          <w:lang w:val="en-US"/>
        </w:rPr>
        <w:t>III</w:t>
      </w:r>
      <w:r w:rsidRPr="007134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тепени конкурса научно-исследовательских работ Малой академии наук школьников Кубанский государственный университет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илиал в г. Славянске-на-Кубани - Зинченко Ольга (2012г.)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учащихся отличаются четким логическим изложением, высокой степенью научности, убедительностью рассуждений, оригинальностью мышления, достоверностью результатов. В чем причина такого успеха ребят? </w:t>
      </w:r>
      <w:r>
        <w:rPr>
          <w:sz w:val="28"/>
          <w:szCs w:val="28"/>
        </w:rPr>
        <w:lastRenderedPageBreak/>
        <w:t>Прежде всего, в умении логически мыслить, работать с литературой, в глубоком знании курса химии, целеустремленности. Приобщаясь к научно-исследовательской работе, ребята проявляют интерес к науке, поиску, эксперименту. Участие в научно-практических конференциях приучает их к собранности, воспитывает волю, чувство ответственности.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Исследовательская деятельность целесообразна в учебно-воспитательном процессе только тогда, когда учащиеся достаточно свободно могут ориентироваться в определенной системе знаний, что повышает долю их самостоятельности. Исследовательский подход учащихся не следует отождествлять с научным исследованием ученых. Учащиеся в основном не выявляют новых научных мыслей, но познают, усваивают, «переоткрывают» их для себя.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2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Работа открывается в начале учебного года со знакомства с химией и основными принципами исследовательской работы. На первых занятиях рассматриваются основные виды исследовательских работ, дается обзор научно-практических конференций и конкурсов школьников, даются основные понятия научно-исследовательской работы, схемы научного исследования, методов научного познания и поиска информации.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2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Одним из самых ответственных и важных моментов исследовательской работы является выбор темы исследования каждым учащимся. Я предлагаю примерный перечень тем для исследования. При определении тематики ученических исследований необходимо учитывать следующие критерии: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2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1) актуальность темы, недостаточность ее изученности и важность в практическом отношении;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2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2) соответствие интересам учащегося-исследователя;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2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3) реальная выполнимость;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2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4) возможность более глубокого осмысления общих закономерностей процессов, изучаемых  избранной наукой;  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2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5) обеспеченность необходимым количеством различных источников.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2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После завершения оформления работы я пишу рецензию на нее и сосредоточиваю свое внимание на подготовке учащихся к защите исследования. </w:t>
      </w:r>
    </w:p>
    <w:p w:rsidR="00865DDB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В результате правильная  организация научно-исследовательской работы позволяет овладевать элементарными навыками самостоятельной исследовательской работы и оказывает методическую поддержку учащимся при проведении исследовательских работ и подготовке выступлений на различных научно- практических конференциях и конкурсах школьников,  приносит детям радость поиска и находок, чувство уверенности в своих силах.</w:t>
      </w:r>
    </w:p>
    <w:p w:rsidR="00865DDB" w:rsidRDefault="00865DDB" w:rsidP="00865DDB">
      <w:pPr>
        <w:pStyle w:val="a3"/>
        <w:spacing w:before="0" w:beforeAutospacing="0" w:afterLines="30" w:afterAutospacing="0"/>
        <w:jc w:val="both"/>
        <w:rPr>
          <w:sz w:val="28"/>
          <w:szCs w:val="28"/>
        </w:rPr>
      </w:pPr>
    </w:p>
    <w:p w:rsidR="00865DDB" w:rsidRPr="00EF5FBC" w:rsidRDefault="00865DDB" w:rsidP="00865DDB">
      <w:pPr>
        <w:pStyle w:val="a3"/>
        <w:spacing w:before="0" w:beforeAutospacing="0" w:afterLines="30" w:afterAutospacing="0"/>
        <w:jc w:val="both"/>
        <w:rPr>
          <w:b/>
          <w:sz w:val="28"/>
          <w:szCs w:val="28"/>
        </w:rPr>
      </w:pPr>
      <w:r w:rsidRPr="00EF5FBC">
        <w:rPr>
          <w:b/>
          <w:sz w:val="28"/>
          <w:szCs w:val="28"/>
        </w:rPr>
        <w:t>Список используемой литературы</w:t>
      </w:r>
    </w:p>
    <w:p w:rsidR="00865DDB" w:rsidRPr="0031209F" w:rsidRDefault="00865DDB" w:rsidP="00865DDB">
      <w:pPr>
        <w:pStyle w:val="a3"/>
        <w:spacing w:before="0" w:beforeAutospacing="0" w:afterLines="30" w:afterAutospacing="0"/>
        <w:ind w:firstLine="709"/>
        <w:jc w:val="both"/>
        <w:rPr>
          <w:sz w:val="28"/>
          <w:szCs w:val="28"/>
        </w:rPr>
      </w:pPr>
    </w:p>
    <w:p w:rsidR="00865DDB" w:rsidRPr="0031209F" w:rsidRDefault="00865DDB" w:rsidP="00865DDB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Lines="30" w:afterAutospacing="0"/>
        <w:ind w:left="360" w:hanging="360"/>
        <w:jc w:val="both"/>
        <w:rPr>
          <w:sz w:val="28"/>
          <w:szCs w:val="28"/>
        </w:rPr>
      </w:pPr>
      <w:r w:rsidRPr="0031209F">
        <w:rPr>
          <w:sz w:val="28"/>
          <w:szCs w:val="28"/>
        </w:rPr>
        <w:lastRenderedPageBreak/>
        <w:t xml:space="preserve">Беспалов П.И. Модульные программы при изучении органической химии. Ч. </w:t>
      </w:r>
      <w:r w:rsidRPr="0031209F">
        <w:rPr>
          <w:sz w:val="28"/>
          <w:szCs w:val="28"/>
          <w:lang w:val="en-US"/>
        </w:rPr>
        <w:t>II</w:t>
      </w:r>
      <w:r w:rsidRPr="0031209F">
        <w:rPr>
          <w:sz w:val="28"/>
          <w:szCs w:val="28"/>
        </w:rPr>
        <w:t xml:space="preserve">. – М.: Центрхимпресс, 2003. — 83 </w:t>
      </w:r>
      <w:proofErr w:type="gramStart"/>
      <w:r w:rsidRPr="0031209F">
        <w:rPr>
          <w:sz w:val="28"/>
          <w:szCs w:val="28"/>
        </w:rPr>
        <w:t>с</w:t>
      </w:r>
      <w:proofErr w:type="gramEnd"/>
      <w:r w:rsidRPr="0031209F">
        <w:rPr>
          <w:sz w:val="28"/>
          <w:szCs w:val="28"/>
        </w:rPr>
        <w:t>. «Химия в школе — абитуриенту, учителю. Библиотека журнала».</w:t>
      </w:r>
    </w:p>
    <w:p w:rsidR="00865DDB" w:rsidRPr="0031209F" w:rsidRDefault="00865DDB" w:rsidP="00865DDB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Lines="30" w:afterAutospacing="0"/>
        <w:ind w:left="360" w:hanging="36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Новые педагогические и информационные технологии в системе образования: Учеб</w:t>
      </w:r>
      <w:proofErr w:type="gramStart"/>
      <w:r w:rsidRPr="0031209F">
        <w:rPr>
          <w:sz w:val="28"/>
          <w:szCs w:val="28"/>
        </w:rPr>
        <w:t>.</w:t>
      </w:r>
      <w:proofErr w:type="gramEnd"/>
      <w:r w:rsidRPr="0031209F">
        <w:rPr>
          <w:sz w:val="28"/>
          <w:szCs w:val="28"/>
        </w:rPr>
        <w:t xml:space="preserve"> </w:t>
      </w:r>
      <w:proofErr w:type="gramStart"/>
      <w:r w:rsidRPr="0031209F">
        <w:rPr>
          <w:sz w:val="28"/>
          <w:szCs w:val="28"/>
        </w:rPr>
        <w:t>п</w:t>
      </w:r>
      <w:proofErr w:type="gramEnd"/>
      <w:r w:rsidRPr="0031209F">
        <w:rPr>
          <w:sz w:val="28"/>
          <w:szCs w:val="28"/>
        </w:rPr>
        <w:t xml:space="preserve">особие для студ. пед. вузов и системы повыш. квалиф. пед. Кадров/ Е.С. </w:t>
      </w:r>
      <w:proofErr w:type="gramStart"/>
      <w:r w:rsidRPr="0031209F">
        <w:rPr>
          <w:sz w:val="28"/>
          <w:szCs w:val="28"/>
        </w:rPr>
        <w:t>Полат и</w:t>
      </w:r>
      <w:proofErr w:type="gramEnd"/>
      <w:r w:rsidRPr="0031209F">
        <w:rPr>
          <w:sz w:val="28"/>
          <w:szCs w:val="28"/>
        </w:rPr>
        <w:t xml:space="preserve"> др. Под ред. ЕС. Полат. – М.: Издательский центр «Академия», 2001. – 272 </w:t>
      </w:r>
      <w:proofErr w:type="gramStart"/>
      <w:r w:rsidRPr="0031209F">
        <w:rPr>
          <w:sz w:val="28"/>
          <w:szCs w:val="28"/>
        </w:rPr>
        <w:t>с</w:t>
      </w:r>
      <w:proofErr w:type="gramEnd"/>
      <w:r w:rsidRPr="0031209F">
        <w:rPr>
          <w:sz w:val="28"/>
          <w:szCs w:val="28"/>
        </w:rPr>
        <w:t>.</w:t>
      </w:r>
    </w:p>
    <w:p w:rsidR="00865DDB" w:rsidRPr="0031209F" w:rsidRDefault="00865DDB" w:rsidP="00865DDB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Lines="30" w:afterAutospacing="0"/>
        <w:ind w:left="360" w:hanging="36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 xml:space="preserve">Селевко Г.К. Педагогические технологии на основе активизации, интенсификации и эффективного управления УВП. М.: НИИ школьных технологий, 2005. - 288 </w:t>
      </w:r>
      <w:proofErr w:type="gramStart"/>
      <w:r w:rsidRPr="0031209F">
        <w:rPr>
          <w:sz w:val="28"/>
          <w:szCs w:val="28"/>
        </w:rPr>
        <w:t>с</w:t>
      </w:r>
      <w:proofErr w:type="gramEnd"/>
      <w:r w:rsidRPr="0031209F">
        <w:rPr>
          <w:sz w:val="28"/>
          <w:szCs w:val="28"/>
        </w:rPr>
        <w:t xml:space="preserve">. </w:t>
      </w:r>
    </w:p>
    <w:p w:rsidR="00865DDB" w:rsidRPr="00D230B0" w:rsidRDefault="00865DDB" w:rsidP="00865DDB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Lines="30" w:afterAutospacing="0"/>
        <w:ind w:left="360" w:hanging="360"/>
        <w:jc w:val="both"/>
        <w:rPr>
          <w:sz w:val="28"/>
          <w:szCs w:val="28"/>
        </w:rPr>
      </w:pPr>
      <w:r w:rsidRPr="0031209F">
        <w:rPr>
          <w:sz w:val="28"/>
          <w:szCs w:val="28"/>
        </w:rPr>
        <w:t>Сергеев И.С. Как организовать проектную деятельность учащихся: Практическое пособие для работников общеобразовательных учреждений. М.: АРКТИ, 2005. — 80 с.</w:t>
      </w:r>
    </w:p>
    <w:p w:rsidR="00865DDB" w:rsidRPr="0031209F" w:rsidRDefault="00865DDB" w:rsidP="00865DDB">
      <w:pPr>
        <w:tabs>
          <w:tab w:val="left" w:pos="360"/>
        </w:tabs>
        <w:spacing w:afterLines="30"/>
        <w:ind w:left="360" w:hanging="360"/>
        <w:jc w:val="both"/>
        <w:rPr>
          <w:sz w:val="28"/>
          <w:szCs w:val="28"/>
        </w:rPr>
      </w:pPr>
    </w:p>
    <w:p w:rsidR="00865DDB" w:rsidRDefault="00865DDB" w:rsidP="00865DDB"/>
    <w:p w:rsidR="00865DDB" w:rsidRDefault="00865DDB" w:rsidP="00865DDB"/>
    <w:p w:rsidR="001D4D90" w:rsidRDefault="001D4D90"/>
    <w:sectPr w:rsidR="001D4D90" w:rsidSect="003120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65FC0"/>
    <w:multiLevelType w:val="hybridMultilevel"/>
    <w:tmpl w:val="8318A17C"/>
    <w:lvl w:ilvl="0" w:tplc="2AA2FD5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DB"/>
    <w:rsid w:val="000A6E25"/>
    <w:rsid w:val="001D4D90"/>
    <w:rsid w:val="00865DDB"/>
    <w:rsid w:val="0098202A"/>
    <w:rsid w:val="00C305F2"/>
    <w:rsid w:val="00D34D70"/>
    <w:rsid w:val="00EE06CC"/>
    <w:rsid w:val="00F4479C"/>
    <w:rsid w:val="00FE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5D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2014-04-06T10:17:00Z</dcterms:created>
  <dcterms:modified xsi:type="dcterms:W3CDTF">2014-04-06T10:17:00Z</dcterms:modified>
</cp:coreProperties>
</file>