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73" w:rsidRDefault="004202D0">
      <w:pPr>
        <w:pStyle w:val="20"/>
        <w:shd w:val="clear" w:color="auto" w:fill="auto"/>
        <w:spacing w:after="1769" w:line="840" w:lineRule="exact"/>
        <w:ind w:left="40"/>
      </w:pPr>
      <w:r>
        <w:t>МЕТОДИЧЕСКАЯ РАЗРАБОТКА</w:t>
      </w:r>
    </w:p>
    <w:p w:rsidR="00844C73" w:rsidRDefault="004202D0">
      <w:pPr>
        <w:pStyle w:val="20"/>
        <w:shd w:val="clear" w:color="auto" w:fill="auto"/>
        <w:spacing w:after="3525" w:line="902" w:lineRule="exact"/>
        <w:ind w:left="40"/>
      </w:pPr>
      <w:r>
        <w:t>РАЗВИТИЕ ПОЗНАВАТЕЛЬНОЙ АКТИВНОСТИ И ТВОРЧЕСКИХ СПОСОБНОСТЕЙ УЧАЩИХСЯ ПРИ</w:t>
      </w:r>
      <w:r w:rsidR="00A00028">
        <w:t xml:space="preserve"> </w:t>
      </w:r>
      <w:r>
        <w:t>ИЗУЧЕНИИ НОВОГО ПРЕДМЕТА</w:t>
      </w:r>
    </w:p>
    <w:p w:rsidR="00844C73" w:rsidRDefault="004202D0">
      <w:pPr>
        <w:pStyle w:val="1"/>
        <w:shd w:val="clear" w:color="auto" w:fill="auto"/>
        <w:spacing w:before="0" w:after="3025"/>
        <w:ind w:left="4960" w:right="1420"/>
      </w:pPr>
      <w:r>
        <w:t xml:space="preserve">Учитель химии </w:t>
      </w:r>
      <w:r w:rsidR="008751F3">
        <w:t>МБОУ гимназия</w:t>
      </w:r>
      <w:r>
        <w:t xml:space="preserve"> № 92 Долгова Светлана Анатольевна</w:t>
      </w:r>
    </w:p>
    <w:p w:rsidR="00844C73" w:rsidRDefault="008751F3">
      <w:pPr>
        <w:pStyle w:val="30"/>
        <w:shd w:val="clear" w:color="auto" w:fill="auto"/>
        <w:spacing w:before="0" w:line="290" w:lineRule="exact"/>
        <w:ind w:left="3140"/>
      </w:pPr>
      <w:r>
        <w:t>Краснодар - 2014</w:t>
      </w:r>
      <w:r w:rsidR="004202D0">
        <w:t xml:space="preserve"> год</w:t>
      </w:r>
    </w:p>
    <w:p w:rsidR="00521CBF" w:rsidRDefault="00521CBF">
      <w:pPr>
        <w:pStyle w:val="30"/>
        <w:shd w:val="clear" w:color="auto" w:fill="auto"/>
        <w:spacing w:before="0" w:line="290" w:lineRule="exact"/>
        <w:ind w:left="3140"/>
      </w:pPr>
    </w:p>
    <w:p w:rsidR="00521CBF" w:rsidRDefault="00521CBF">
      <w:pPr>
        <w:pStyle w:val="30"/>
        <w:shd w:val="clear" w:color="auto" w:fill="auto"/>
        <w:spacing w:before="0" w:line="290" w:lineRule="exact"/>
        <w:ind w:left="3140"/>
      </w:pPr>
    </w:p>
    <w:p w:rsidR="00521CBF" w:rsidRDefault="00521CBF">
      <w:pPr>
        <w:pStyle w:val="30"/>
        <w:shd w:val="clear" w:color="auto" w:fill="auto"/>
        <w:spacing w:before="0" w:line="290" w:lineRule="exact"/>
        <w:ind w:left="3140"/>
      </w:pPr>
    </w:p>
    <w:p w:rsidR="00521CBF" w:rsidRDefault="00521CBF">
      <w:pPr>
        <w:pStyle w:val="30"/>
        <w:shd w:val="clear" w:color="auto" w:fill="auto"/>
        <w:spacing w:before="0" w:line="290" w:lineRule="exact"/>
        <w:ind w:left="3140"/>
      </w:pPr>
    </w:p>
    <w:p w:rsidR="00521CBF" w:rsidRDefault="00521CBF">
      <w:pPr>
        <w:pStyle w:val="30"/>
        <w:shd w:val="clear" w:color="auto" w:fill="auto"/>
        <w:spacing w:before="0" w:line="290" w:lineRule="exact"/>
        <w:ind w:left="3140"/>
      </w:pPr>
    </w:p>
    <w:p w:rsidR="00521CBF" w:rsidRPr="00521CBF" w:rsidRDefault="00521CBF" w:rsidP="00521CBF">
      <w:pPr>
        <w:keepNext/>
        <w:keepLines/>
        <w:spacing w:after="658" w:line="552" w:lineRule="exact"/>
        <w:ind w:left="2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</w:rPr>
      </w:pPr>
      <w:bookmarkStart w:id="0" w:name="bookmark0"/>
      <w:r w:rsidRPr="00521CB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Развитие познавательной активности и творческих способностей учащихся при изучении нового предмета</w:t>
      </w:r>
      <w:bookmarkEnd w:id="0"/>
    </w:p>
    <w:p w:rsidR="00521CBF" w:rsidRPr="00521CBF" w:rsidRDefault="00521CBF" w:rsidP="00521CBF">
      <w:pPr>
        <w:spacing w:line="480" w:lineRule="exact"/>
        <w:ind w:left="20" w:right="300" w:firstLine="70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521CBF">
        <w:rPr>
          <w:rFonts w:ascii="Times New Roman" w:eastAsia="Times New Roman" w:hAnsi="Times New Roman" w:cs="Times New Roman"/>
          <w:sz w:val="27"/>
          <w:szCs w:val="27"/>
        </w:rPr>
        <w:t>Каждый ребенок от природы наделен способностями практически ко всем видам человеческой деятельности: к овладению естественными и гуманитарными знаниями, к изобразительному искусству, музыке и т.д. Важно только в процессе его обучения развить эти способности.</w:t>
      </w:r>
    </w:p>
    <w:p w:rsidR="00521CBF" w:rsidRPr="00521CBF" w:rsidRDefault="00521CBF" w:rsidP="00521CBF">
      <w:pPr>
        <w:spacing w:line="480" w:lineRule="exact"/>
        <w:ind w:left="20" w:right="300" w:firstLine="70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521CBF">
        <w:rPr>
          <w:rFonts w:ascii="Times New Roman" w:eastAsia="Times New Roman" w:hAnsi="Times New Roman" w:cs="Times New Roman"/>
          <w:sz w:val="27"/>
          <w:szCs w:val="27"/>
        </w:rPr>
        <w:t>При первом знакомстве гимназистов с новым предметом в 8 классе с целью развития познавательной активности учащихся я использую различные методические приемы: выполнение индивидуальных заданий познавательного характера, домашние практические задания, работу с разнообразными источниками информации (словари, справочники), решение занимательных задач, ребусов, шарад, головоломок, использование обучающих и дидактических игр на уроках.</w:t>
      </w:r>
    </w:p>
    <w:p w:rsidR="00521CBF" w:rsidRPr="00521CBF" w:rsidRDefault="00521CBF" w:rsidP="00521CBF">
      <w:pPr>
        <w:spacing w:line="480" w:lineRule="exact"/>
        <w:ind w:left="20" w:right="300" w:firstLine="70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521CBF">
        <w:rPr>
          <w:rFonts w:ascii="Times New Roman" w:eastAsia="Times New Roman" w:hAnsi="Times New Roman" w:cs="Times New Roman"/>
          <w:sz w:val="27"/>
          <w:szCs w:val="27"/>
        </w:rPr>
        <w:t>Дидактические игры позволяют развивать познавательный интерес учащихся, стимулировать их творческие способности, помогают, глубже усвоить изучаемый материал, обеспечить соответствующий эмоциональный настрой урока.</w:t>
      </w:r>
    </w:p>
    <w:p w:rsidR="00521CBF" w:rsidRDefault="00521CBF" w:rsidP="00521CBF">
      <w:pPr>
        <w:spacing w:line="480" w:lineRule="exact"/>
        <w:ind w:left="20" w:right="300" w:firstLine="700"/>
        <w:rPr>
          <w:rFonts w:ascii="Times New Roman" w:eastAsia="Times New Roman" w:hAnsi="Times New Roman" w:cs="Times New Roman"/>
          <w:sz w:val="27"/>
          <w:szCs w:val="27"/>
        </w:rPr>
      </w:pPr>
      <w:r w:rsidRPr="00521CBF">
        <w:rPr>
          <w:rFonts w:ascii="Times New Roman" w:eastAsia="Times New Roman" w:hAnsi="Times New Roman" w:cs="Times New Roman"/>
          <w:sz w:val="27"/>
          <w:szCs w:val="27"/>
        </w:rPr>
        <w:t>Применение дидактических игр целесообразно</w:t>
      </w:r>
      <w:r w:rsidR="00E05ED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21CBF">
        <w:rPr>
          <w:rFonts w:ascii="Times New Roman" w:eastAsia="Times New Roman" w:hAnsi="Times New Roman" w:cs="Times New Roman"/>
          <w:sz w:val="27"/>
          <w:szCs w:val="27"/>
        </w:rPr>
        <w:t xml:space="preserve"> прежде всего</w:t>
      </w:r>
      <w:r w:rsidR="00E05ED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21CBF">
        <w:rPr>
          <w:rFonts w:ascii="Times New Roman" w:eastAsia="Times New Roman" w:hAnsi="Times New Roman" w:cs="Times New Roman"/>
          <w:sz w:val="27"/>
          <w:szCs w:val="27"/>
        </w:rPr>
        <w:t xml:space="preserve"> при изучении тем, которые недостаточно обеспечены химическим экспериментом. Например, объемное содержание темы “Периодический закон и Периодическая система Д.И. Менделеева” требует запоминания множества новых понятий, включения абстрактного мышления учащихся. Чтобы помочь им преодолеть трудности, возникающие при изучении подобных тем</w:t>
      </w:r>
      <w:r w:rsidR="00404DA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21CBF">
        <w:rPr>
          <w:rFonts w:ascii="Times New Roman" w:eastAsia="Times New Roman" w:hAnsi="Times New Roman" w:cs="Times New Roman"/>
          <w:sz w:val="27"/>
          <w:szCs w:val="27"/>
        </w:rPr>
        <w:t xml:space="preserve"> и используются дидактические игры.</w:t>
      </w:r>
    </w:p>
    <w:p w:rsidR="00521CBF" w:rsidRDefault="00521CBF" w:rsidP="00521CBF">
      <w:pPr>
        <w:pStyle w:val="22"/>
        <w:keepNext/>
        <w:keepLines/>
        <w:shd w:val="clear" w:color="auto" w:fill="auto"/>
        <w:ind w:left="120"/>
        <w:rPr>
          <w:color w:val="000000"/>
        </w:rPr>
      </w:pPr>
    </w:p>
    <w:p w:rsidR="00521CBF" w:rsidRDefault="00521CBF" w:rsidP="00521CBF">
      <w:pPr>
        <w:pStyle w:val="22"/>
        <w:keepNext/>
        <w:keepLines/>
        <w:shd w:val="clear" w:color="auto" w:fill="auto"/>
        <w:ind w:left="120"/>
        <w:rPr>
          <w:color w:val="000000"/>
        </w:rPr>
      </w:pPr>
    </w:p>
    <w:p w:rsidR="00521CBF" w:rsidRDefault="00521CBF" w:rsidP="00521CBF">
      <w:pPr>
        <w:pStyle w:val="22"/>
        <w:keepNext/>
        <w:keepLines/>
        <w:shd w:val="clear" w:color="auto" w:fill="auto"/>
        <w:ind w:left="120"/>
        <w:rPr>
          <w:color w:val="000000"/>
        </w:rPr>
      </w:pPr>
    </w:p>
    <w:p w:rsidR="00521CBF" w:rsidRDefault="00521CBF" w:rsidP="00521CBF">
      <w:pPr>
        <w:pStyle w:val="22"/>
        <w:keepNext/>
        <w:keepLines/>
        <w:shd w:val="clear" w:color="auto" w:fill="auto"/>
        <w:ind w:left="120"/>
      </w:pPr>
      <w:r>
        <w:rPr>
          <w:color w:val="000000"/>
        </w:rPr>
        <w:t>“Химическое лото”.</w:t>
      </w:r>
    </w:p>
    <w:p w:rsidR="00521CBF" w:rsidRDefault="00521CBF" w:rsidP="00521CBF">
      <w:pPr>
        <w:pStyle w:val="1"/>
        <w:shd w:val="clear" w:color="auto" w:fill="auto"/>
        <w:spacing w:before="0" w:after="1044" w:line="480" w:lineRule="exact"/>
        <w:ind w:left="120" w:right="380" w:firstLine="720"/>
      </w:pPr>
      <w:r>
        <w:t xml:space="preserve">Учащиеся распределяют между собой игральные таблицы поровну. Один </w:t>
      </w:r>
      <w:r w:rsidR="00E05ED8">
        <w:t>из играющих берет по одной фишке</w:t>
      </w:r>
      <w:r>
        <w:t xml:space="preserve"> с названием химических элементов и объявляет </w:t>
      </w:r>
      <w:r>
        <w:lastRenderedPageBreak/>
        <w:t xml:space="preserve">их. Играющие ищут соответствующий объявленному названию символ химического элемента и закрывают его кружочком или квадратиком бумаги. Выигрывает </w:t>
      </w:r>
      <w:r w:rsidR="00E05ED8">
        <w:t>первый</w:t>
      </w:r>
      <w:r>
        <w:t>, у кого закрыта одна горизонталь (две или вся таблица - по договоренности между играющими).</w:t>
      </w:r>
    </w:p>
    <w:tbl>
      <w:tblPr>
        <w:tblOverlap w:val="never"/>
        <w:tblW w:w="65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729"/>
        <w:gridCol w:w="729"/>
        <w:gridCol w:w="729"/>
        <w:gridCol w:w="729"/>
        <w:gridCol w:w="729"/>
        <w:gridCol w:w="729"/>
        <w:gridCol w:w="729"/>
        <w:gridCol w:w="738"/>
      </w:tblGrid>
      <w:tr w:rsidR="004202D0" w:rsidTr="004202D0">
        <w:trPr>
          <w:trHeight w:hRule="exact" w:val="5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80"/>
            </w:pPr>
            <w:r>
              <w:rPr>
                <w:lang w:val="en-US"/>
              </w:rPr>
              <w:t>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40"/>
            </w:pPr>
            <w:r>
              <w:rPr>
                <w:lang w:val="en-US"/>
              </w:rPr>
              <w:t>Sn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20"/>
            </w:pPr>
            <w:r>
              <w:rPr>
                <w:lang w:val="en-US"/>
              </w:rPr>
              <w:t>Pu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60"/>
            </w:pPr>
            <w:r>
              <w:rPr>
                <w:lang w:val="en-US"/>
              </w:rPr>
              <w:t>Pt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20"/>
            </w:pPr>
            <w:r>
              <w:rPr>
                <w:lang w:val="en-US"/>
              </w:rPr>
              <w:t>Ku</w:t>
            </w:r>
          </w:p>
        </w:tc>
      </w:tr>
      <w:tr w:rsidR="004202D0" w:rsidTr="004202D0">
        <w:trPr>
          <w:trHeight w:hRule="exact" w:val="4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80"/>
            </w:pPr>
            <w:r>
              <w:rPr>
                <w:lang w:val="en-US"/>
              </w:rPr>
              <w:t>Si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40"/>
            </w:pPr>
            <w:r>
              <w:rPr>
                <w:lang w:val="en-US"/>
              </w:rPr>
              <w:t>Rb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20"/>
            </w:pPr>
            <w:r>
              <w:rPr>
                <w:lang w:val="en-US"/>
              </w:rPr>
              <w:t>Sm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60"/>
            </w:pPr>
            <w:r>
              <w:rPr>
                <w:lang w:val="en-US"/>
              </w:rPr>
              <w:t>W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20"/>
            </w:pPr>
            <w:r>
              <w:rPr>
                <w:lang w:val="en-US"/>
              </w:rPr>
              <w:t>At</w:t>
            </w:r>
          </w:p>
        </w:tc>
      </w:tr>
      <w:tr w:rsidR="004202D0" w:rsidTr="004202D0">
        <w:trPr>
          <w:trHeight w:hRule="exact" w:val="5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60"/>
            </w:pPr>
            <w:r>
              <w:rPr>
                <w:lang w:val="en-US"/>
              </w:rPr>
              <w:t>Li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180"/>
            </w:pPr>
            <w:r>
              <w:rPr>
                <w:lang w:val="en-US"/>
              </w:rPr>
              <w:t>Mg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40"/>
            </w:pPr>
            <w:r>
              <w:rPr>
                <w:lang w:val="en-US"/>
              </w:rPr>
              <w:t>Y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00"/>
            </w:pPr>
            <w:r>
              <w:rPr>
                <w:lang w:val="en-US"/>
              </w:rPr>
              <w:t>Nb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pStyle w:val="1"/>
              <w:framePr w:w="6629" w:wrap="notBeside" w:vAnchor="text" w:hAnchor="text" w:y="1"/>
              <w:shd w:val="clear" w:color="auto" w:fill="auto"/>
              <w:spacing w:before="0" w:after="0" w:line="270" w:lineRule="exact"/>
              <w:ind w:left="240"/>
            </w:pPr>
            <w:r>
              <w:rPr>
                <w:lang w:val="en-US"/>
              </w:rPr>
              <w:t>La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BF" w:rsidRDefault="00521CBF" w:rsidP="00F061AF">
            <w:pPr>
              <w:framePr w:w="6629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21CBF" w:rsidRDefault="00521CBF" w:rsidP="00521CBF">
      <w:pPr>
        <w:rPr>
          <w:sz w:val="2"/>
          <w:szCs w:val="2"/>
        </w:rPr>
      </w:pPr>
    </w:p>
    <w:p w:rsidR="00521CBF" w:rsidRDefault="00521CBF" w:rsidP="00521CBF">
      <w:pPr>
        <w:pStyle w:val="22"/>
        <w:keepNext/>
        <w:keepLines/>
        <w:shd w:val="clear" w:color="auto" w:fill="auto"/>
        <w:spacing w:before="773"/>
        <w:ind w:left="120"/>
      </w:pPr>
      <w:bookmarkStart w:id="1" w:name="bookmark1"/>
      <w:r>
        <w:rPr>
          <w:color w:val="000000"/>
        </w:rPr>
        <w:t>“Внимательный химик”.</w:t>
      </w:r>
      <w:bookmarkEnd w:id="1"/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120" w:right="380" w:firstLine="720"/>
      </w:pPr>
      <w:r>
        <w:rPr>
          <w:rStyle w:val="a5"/>
        </w:rPr>
        <w:t>Цель:</w:t>
      </w:r>
      <w:r>
        <w:t xml:space="preserve"> развитие и активизация ведущих познавательных операций учащихся, своеобразный тренинг процессов, обеспечивающих внимание, запоминание учебного материала.</w:t>
      </w:r>
    </w:p>
    <w:p w:rsidR="00521CBF" w:rsidRDefault="00521CBF" w:rsidP="00521CBF">
      <w:pPr>
        <w:pStyle w:val="1"/>
        <w:shd w:val="clear" w:color="auto" w:fill="auto"/>
        <w:spacing w:before="0" w:after="416" w:line="480" w:lineRule="exact"/>
        <w:ind w:left="120" w:right="380" w:firstLine="720"/>
      </w:pPr>
      <w:r>
        <w:t xml:space="preserve">Участники образуют по рядам 6 команд. Первые 3 команды должны охарактеризовать физические свойства воды, команды 4-6 отразить химические понятия темы (например, </w:t>
      </w:r>
      <w:r w:rsidR="00E05ED8">
        <w:t>тема «</w:t>
      </w:r>
      <w:r w:rsidR="008751F3">
        <w:t>Вода»</w:t>
      </w:r>
      <w:r>
        <w:t>). Каждый ученик фиксирует в карточке одно свойство или понятие и передает карточку следующему - по рядам до конца (при этом не должно быть повторений). Игра длится 5-7 минут. Проверку может проводить, как учитель, так и авторитетное жюри, избранное из числа членов всех команд.</w:t>
      </w:r>
    </w:p>
    <w:p w:rsidR="00521CBF" w:rsidRDefault="00521CBF" w:rsidP="00521CBF">
      <w:pPr>
        <w:pStyle w:val="22"/>
        <w:keepNext/>
        <w:keepLines/>
        <w:shd w:val="clear" w:color="auto" w:fill="auto"/>
        <w:spacing w:line="485" w:lineRule="exact"/>
        <w:ind w:left="120"/>
      </w:pPr>
      <w:bookmarkStart w:id="2" w:name="bookmark2"/>
      <w:r>
        <w:rPr>
          <w:color w:val="000000"/>
        </w:rPr>
        <w:t>“Руки вверх”</w:t>
      </w:r>
      <w:bookmarkEnd w:id="2"/>
    </w:p>
    <w:p w:rsidR="00521CBF" w:rsidRDefault="00521CBF" w:rsidP="00521CBF">
      <w:pPr>
        <w:pStyle w:val="1"/>
        <w:shd w:val="clear" w:color="auto" w:fill="auto"/>
        <w:spacing w:before="0" w:after="0" w:line="485" w:lineRule="exact"/>
        <w:ind w:left="120" w:right="380" w:firstLine="720"/>
      </w:pPr>
      <w:r>
        <w:rPr>
          <w:rStyle w:val="a5"/>
        </w:rPr>
        <w:t>Цель:</w:t>
      </w:r>
      <w:r>
        <w:t xml:space="preserve"> активизировать внимание учащихся, закрепить понятие “вещество”, “физическое тело”, сформировать способности к адекватным реакциям на внешний раздражитель.</w:t>
      </w:r>
    </w:p>
    <w:p w:rsidR="00521CBF" w:rsidRDefault="00521CBF" w:rsidP="00521CBF">
      <w:pPr>
        <w:pStyle w:val="1"/>
        <w:shd w:val="clear" w:color="auto" w:fill="auto"/>
        <w:spacing w:before="0" w:after="592" w:line="485" w:lineRule="exact"/>
        <w:ind w:left="20" w:right="280"/>
      </w:pPr>
      <w:r>
        <w:t xml:space="preserve">Учитель перечисляет названия веществ и физических тел, дети внимательно слушают. Если названо вещество, ученики поднимают руки вверх, а если </w:t>
      </w:r>
      <w:r>
        <w:lastRenderedPageBreak/>
        <w:t>физическое тело, то руки лежат на парте. Ученик, допустивший ошибку, дает определение “вещества” или “физического тела” и приводит дополнительно 2-3 соответствующих примера.</w:t>
      </w:r>
    </w:p>
    <w:p w:rsidR="00521CBF" w:rsidRDefault="00521CBF" w:rsidP="00521CBF">
      <w:pPr>
        <w:pStyle w:val="22"/>
        <w:keepNext/>
        <w:keepLines/>
        <w:shd w:val="clear" w:color="auto" w:fill="auto"/>
        <w:spacing w:line="270" w:lineRule="exact"/>
        <w:ind w:left="340"/>
      </w:pPr>
      <w:r>
        <w:rPr>
          <w:color w:val="000000"/>
        </w:rPr>
        <w:t>«Кто дальше?»</w:t>
      </w: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 w:right="980" w:firstLine="700"/>
        <w:jc w:val="both"/>
      </w:pPr>
      <w:r>
        <w:rPr>
          <w:rStyle w:val="a5"/>
        </w:rPr>
        <w:t>Цель:</w:t>
      </w:r>
      <w:r>
        <w:t xml:space="preserve"> активизировать процесс запоминания названий химических элементов и их деления на металлы и неметаллы, на отдельные группы химических элементов и так далее.</w:t>
      </w:r>
    </w:p>
    <w:p w:rsidR="00521CBF" w:rsidRDefault="00521CBF" w:rsidP="00521CBF">
      <w:pPr>
        <w:pStyle w:val="1"/>
        <w:shd w:val="clear" w:color="auto" w:fill="auto"/>
        <w:spacing w:before="0" w:after="420" w:line="480" w:lineRule="exact"/>
        <w:ind w:left="20" w:right="280" w:firstLine="700"/>
      </w:pPr>
      <w:r>
        <w:t>Ученик становится на финишную линию и по команде учителя начинает идти строевым шагом. Играющий должен прошагать как можно дальше</w:t>
      </w:r>
      <w:r w:rsidR="00E05ED8">
        <w:t>,</w:t>
      </w:r>
      <w:r>
        <w:t xml:space="preserve"> </w:t>
      </w:r>
      <w:r w:rsidR="00E05ED8">
        <w:t>н</w:t>
      </w:r>
      <w:r>
        <w:t>азывая на каждый шаг химический элемент. Игру можно усложнить, оговорив перечень названий (любые элементы, металлы или неметаллы, группы элементов и т.д.) В игре участвуют одновременно 2-3 ученика (по числу соревнующихся команд). Выигрывает тот, кто прошагает дальше без ошибок, запинок и повторений.</w:t>
      </w:r>
    </w:p>
    <w:p w:rsidR="00521CBF" w:rsidRDefault="00521CBF" w:rsidP="00521CBF">
      <w:pPr>
        <w:pStyle w:val="1"/>
        <w:shd w:val="clear" w:color="auto" w:fill="auto"/>
        <w:spacing w:before="0" w:after="420" w:line="480" w:lineRule="exact"/>
        <w:ind w:left="20" w:right="980" w:firstLine="700"/>
      </w:pPr>
      <w:r>
        <w:t>Дидактические игры значимы не только как средство активизации учебно-познавательной деятельности, но и как перспективный путь реализации задач воспитания и развития личности в процессе обучения.</w:t>
      </w: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 w:right="280" w:firstLine="700"/>
      </w:pPr>
      <w:r>
        <w:t>Обучающие игры на уроках химии позволяют развивать творческие способности учащихся, так как моделируют окружающую обстановку, дают дополнительную информацию, побуждают интеллект к поисковой активности, разрушают психологическую инертность. Обучающая игра должна быть целенаправленна, подчинена достижению заранее намеченного игрового результата. Наряду с решением иллюстративных задач и созданием положительной эмоциональной окраски учебной деятельности, учебные игры должны иметь большую содержательную, познавательную насыщенность.</w:t>
      </w: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 w:right="280" w:firstLine="700"/>
      </w:pPr>
    </w:p>
    <w:p w:rsidR="00521CBF" w:rsidRDefault="00521CBF" w:rsidP="00521CBF">
      <w:pPr>
        <w:pStyle w:val="1"/>
        <w:shd w:val="clear" w:color="auto" w:fill="auto"/>
        <w:spacing w:before="0" w:after="0" w:line="485" w:lineRule="exact"/>
        <w:ind w:left="20" w:right="280" w:firstLine="700"/>
      </w:pPr>
      <w:r>
        <w:t xml:space="preserve">Наиболее сложны и трудоемки деловые и ролевые игры. Например, «экологическая катастрофа». Эту игру можно использовать для изучения </w:t>
      </w:r>
      <w:r>
        <w:lastRenderedPageBreak/>
        <w:t>экологических проблем, возникающих в процессе химического производства или в результате неправильного применения веществ.</w:t>
      </w:r>
    </w:p>
    <w:p w:rsidR="004202D0" w:rsidRDefault="004202D0" w:rsidP="00521CBF">
      <w:pPr>
        <w:pStyle w:val="1"/>
        <w:shd w:val="clear" w:color="auto" w:fill="auto"/>
        <w:spacing w:before="0" w:after="0" w:line="485" w:lineRule="exact"/>
        <w:ind w:left="20" w:right="280" w:firstLine="700"/>
      </w:pPr>
    </w:p>
    <w:p w:rsidR="004202D0" w:rsidRDefault="004202D0" w:rsidP="00521CBF">
      <w:pPr>
        <w:pStyle w:val="1"/>
        <w:shd w:val="clear" w:color="auto" w:fill="auto"/>
        <w:spacing w:before="0" w:after="0" w:line="485" w:lineRule="exact"/>
        <w:ind w:left="20" w:right="280" w:firstLine="700"/>
      </w:pPr>
    </w:p>
    <w:p w:rsidR="00521CBF" w:rsidRDefault="00521CBF" w:rsidP="00521CBF">
      <w:pPr>
        <w:pStyle w:val="40"/>
        <w:shd w:val="clear" w:color="auto" w:fill="auto"/>
        <w:ind w:left="3180"/>
      </w:pPr>
      <w:r>
        <w:rPr>
          <w:color w:val="000000"/>
        </w:rPr>
        <w:t>«Экологическая катастрофа»</w:t>
      </w: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 w:right="840" w:firstLine="700"/>
        <w:jc w:val="both"/>
      </w:pPr>
      <w:r>
        <w:t>Класс делится на 5 групп: производственники (директор завода, главный инженер, экономист, инженер очистных сооружений, работники службы экономического контроля и ....); партия “зеленых”; представители средств массовой информации; санитарная инспекция; независимые эксперты. И перед участниками ставится задача необходимости принять меры по ликвидации последствий выброса в реку (атмосферу) большого количества отходов предприятия, производящего красители (удобрения, азотную кислоту...).</w:t>
      </w:r>
    </w:p>
    <w:p w:rsidR="00521CBF" w:rsidRDefault="00521CBF" w:rsidP="00521CBF">
      <w:pPr>
        <w:pStyle w:val="1"/>
        <w:shd w:val="clear" w:color="auto" w:fill="auto"/>
        <w:spacing w:before="0" w:after="424" w:line="490" w:lineRule="exact"/>
        <w:ind w:left="20" w:right="280" w:firstLine="700"/>
      </w:pPr>
      <w:r>
        <w:t>Эта игра одна из форм «мозгового штурма», в которой ученики находят решение экологических проблем.</w:t>
      </w:r>
    </w:p>
    <w:p w:rsidR="00521CBF" w:rsidRDefault="00521CBF" w:rsidP="00521CBF">
      <w:pPr>
        <w:pStyle w:val="1"/>
        <w:shd w:val="clear" w:color="auto" w:fill="auto"/>
        <w:spacing w:before="0" w:after="1384" w:line="485" w:lineRule="exact"/>
        <w:ind w:left="20" w:right="280" w:firstLine="700"/>
      </w:pPr>
      <w:r>
        <w:t>Более простые игры-тренажеры, направленные на развитие определенных сторон интеллектуальной, эмоциональной сфер личности.</w:t>
      </w:r>
    </w:p>
    <w:p w:rsidR="00521CBF" w:rsidRDefault="00521CBF" w:rsidP="00521CBF">
      <w:pPr>
        <w:pStyle w:val="40"/>
        <w:shd w:val="clear" w:color="auto" w:fill="auto"/>
        <w:spacing w:line="480" w:lineRule="exact"/>
        <w:ind w:left="3180"/>
      </w:pPr>
      <w:r>
        <w:rPr>
          <w:color w:val="000000"/>
        </w:rPr>
        <w:t>“Логические цепочки”</w:t>
      </w:r>
      <w:r w:rsidR="00404DA7">
        <w:rPr>
          <w:color w:val="000000"/>
        </w:rPr>
        <w:t>.</w:t>
      </w:r>
    </w:p>
    <w:p w:rsidR="00521CBF" w:rsidRDefault="00521CBF" w:rsidP="00521CBF">
      <w:pPr>
        <w:pStyle w:val="1"/>
        <w:shd w:val="clear" w:color="auto" w:fill="auto"/>
        <w:spacing w:before="0" w:after="588" w:line="480" w:lineRule="exact"/>
        <w:ind w:left="20" w:right="280" w:firstLine="700"/>
      </w:pPr>
      <w:r>
        <w:t>Учитель</w:t>
      </w:r>
      <w:r w:rsidR="00404DA7">
        <w:t xml:space="preserve"> говорит</w:t>
      </w:r>
      <w:r>
        <w:t xml:space="preserve"> начало фразы: “Алюминий - металл”. Первый ученик повторяет его и придумывает продолжение со словами “потому что”, “следовательно”, “однако”. Затем все сказанное повторяет и продолжает следующий ученик. Тот, кто не смог продолжить цепочку, выбывает из игры. Далее учитель предлагает новую фразу.</w:t>
      </w:r>
    </w:p>
    <w:p w:rsidR="00521CBF" w:rsidRDefault="00521CBF" w:rsidP="00521CBF">
      <w:pPr>
        <w:pStyle w:val="40"/>
        <w:shd w:val="clear" w:color="auto" w:fill="auto"/>
        <w:spacing w:line="270" w:lineRule="exact"/>
        <w:ind w:left="320"/>
        <w:jc w:val="center"/>
      </w:pPr>
      <w:r>
        <w:rPr>
          <w:color w:val="000000"/>
        </w:rPr>
        <w:t>“Восстанови пропущенное”.</w:t>
      </w: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 w:right="760" w:firstLine="700"/>
      </w:pPr>
      <w:r>
        <w:t>В клетках игрового поля записаны знаки химических элементов; некоторые из них отсутствуют, известно, что:</w:t>
      </w:r>
    </w:p>
    <w:p w:rsidR="00521CBF" w:rsidRDefault="00521CBF" w:rsidP="00521CBF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480" w:lineRule="exact"/>
        <w:ind w:left="20" w:right="760"/>
      </w:pPr>
      <w:r>
        <w:lastRenderedPageBreak/>
        <w:t>по периметру квадрата находятся символы элементов только главных подгрупп и только металлов;</w:t>
      </w:r>
    </w:p>
    <w:p w:rsidR="00521CBF" w:rsidRDefault="00521CBF" w:rsidP="00521CBF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480" w:lineRule="exact"/>
        <w:ind w:left="20" w:right="320"/>
      </w:pPr>
      <w:r>
        <w:t>в верхнем и нижнем рядах закономерно изменяется число электронов на внешнем энергетическом уровне атомов элементов;</w:t>
      </w:r>
    </w:p>
    <w:p w:rsidR="00521CBF" w:rsidRDefault="00521CBF" w:rsidP="00521CBF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480" w:lineRule="exact"/>
        <w:ind w:left="20"/>
        <w:jc w:val="both"/>
      </w:pPr>
      <w:r>
        <w:t>в среднем ряду - знаки элементов II группы;</w:t>
      </w:r>
    </w:p>
    <w:p w:rsidR="00521CBF" w:rsidRDefault="00521CBF" w:rsidP="00521CBF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588" w:line="480" w:lineRule="exact"/>
        <w:ind w:left="20" w:right="760"/>
      </w:pPr>
      <w:r>
        <w:t>по диагонали слева направо записаны знаки элементов, образующих амфотерные оксиды и гидроксиды.</w:t>
      </w:r>
    </w:p>
    <w:p w:rsidR="00521CBF" w:rsidRDefault="00521CBF" w:rsidP="00521CBF">
      <w:pPr>
        <w:pStyle w:val="1"/>
        <w:shd w:val="clear" w:color="auto" w:fill="auto"/>
        <w:spacing w:before="0" w:after="246" w:line="270" w:lineRule="exact"/>
        <w:ind w:left="20" w:firstLine="700"/>
        <w:jc w:val="both"/>
      </w:pPr>
      <w:r>
        <w:t>Восстановите пропущенные символы, ответ мотивируйте.</w:t>
      </w:r>
    </w:p>
    <w:tbl>
      <w:tblPr>
        <w:tblOverlap w:val="never"/>
        <w:tblW w:w="3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17"/>
        <w:gridCol w:w="1174"/>
        <w:gridCol w:w="1017"/>
      </w:tblGrid>
      <w:tr w:rsidR="00521CBF" w:rsidTr="00C075AC">
        <w:trPr>
          <w:trHeight w:hRule="exact" w:val="1193"/>
        </w:trPr>
        <w:tc>
          <w:tcPr>
            <w:tcW w:w="1017" w:type="dxa"/>
            <w:shd w:val="clear" w:color="auto" w:fill="FFFFFF"/>
          </w:tcPr>
          <w:p w:rsidR="00521CBF" w:rsidRDefault="00521CBF" w:rsidP="00F061AF">
            <w:pPr>
              <w:pStyle w:val="1"/>
              <w:framePr w:w="34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А1</w:t>
            </w:r>
          </w:p>
        </w:tc>
        <w:tc>
          <w:tcPr>
            <w:tcW w:w="1174" w:type="dxa"/>
            <w:shd w:val="clear" w:color="auto" w:fill="FFFFFF"/>
          </w:tcPr>
          <w:p w:rsidR="00521CBF" w:rsidRDefault="00521CBF" w:rsidP="00F061AF">
            <w:pPr>
              <w:pStyle w:val="1"/>
              <w:framePr w:w="34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?</w:t>
            </w:r>
          </w:p>
        </w:tc>
        <w:tc>
          <w:tcPr>
            <w:tcW w:w="1017" w:type="dxa"/>
            <w:shd w:val="clear" w:color="auto" w:fill="FFFFFF"/>
          </w:tcPr>
          <w:p w:rsidR="00521CBF" w:rsidRDefault="00521CBF" w:rsidP="00F061AF">
            <w:pPr>
              <w:pStyle w:val="1"/>
              <w:framePr w:w="34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Na</w:t>
            </w:r>
          </w:p>
        </w:tc>
      </w:tr>
      <w:tr w:rsidR="00521CBF" w:rsidTr="00C075AC">
        <w:trPr>
          <w:trHeight w:hRule="exact" w:val="1132"/>
        </w:trPr>
        <w:tc>
          <w:tcPr>
            <w:tcW w:w="1017" w:type="dxa"/>
            <w:shd w:val="clear" w:color="auto" w:fill="FFFFFF"/>
          </w:tcPr>
          <w:p w:rsidR="00521CBF" w:rsidRDefault="00521CBF" w:rsidP="00F061AF">
            <w:pPr>
              <w:pStyle w:val="1"/>
              <w:framePr w:w="34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?</w:t>
            </w:r>
          </w:p>
        </w:tc>
        <w:tc>
          <w:tcPr>
            <w:tcW w:w="1174" w:type="dxa"/>
            <w:shd w:val="clear" w:color="auto" w:fill="FFFFFF"/>
          </w:tcPr>
          <w:p w:rsidR="00521CBF" w:rsidRDefault="00521CBF" w:rsidP="00F061AF">
            <w:pPr>
              <w:pStyle w:val="1"/>
              <w:framePr w:w="34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Zn</w:t>
            </w:r>
          </w:p>
        </w:tc>
        <w:tc>
          <w:tcPr>
            <w:tcW w:w="1017" w:type="dxa"/>
            <w:shd w:val="clear" w:color="auto" w:fill="FFFFFF"/>
          </w:tcPr>
          <w:p w:rsidR="00521CBF" w:rsidRDefault="00521CBF" w:rsidP="00F061AF">
            <w:pPr>
              <w:pStyle w:val="1"/>
              <w:framePr w:w="34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Са</w:t>
            </w:r>
          </w:p>
        </w:tc>
      </w:tr>
      <w:tr w:rsidR="00521CBF" w:rsidTr="00C075AC">
        <w:trPr>
          <w:trHeight w:hRule="exact" w:val="750"/>
        </w:trPr>
        <w:tc>
          <w:tcPr>
            <w:tcW w:w="1017" w:type="dxa"/>
            <w:shd w:val="clear" w:color="auto" w:fill="FFFFFF"/>
          </w:tcPr>
          <w:p w:rsidR="00521CBF" w:rsidRDefault="00521CBF" w:rsidP="00F061AF">
            <w:pPr>
              <w:pStyle w:val="1"/>
              <w:framePr w:w="34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К</w:t>
            </w:r>
          </w:p>
        </w:tc>
        <w:tc>
          <w:tcPr>
            <w:tcW w:w="1174" w:type="dxa"/>
            <w:shd w:val="clear" w:color="auto" w:fill="FFFFFF"/>
          </w:tcPr>
          <w:p w:rsidR="00521CBF" w:rsidRDefault="00521CBF" w:rsidP="00F061AF">
            <w:pPr>
              <w:pStyle w:val="1"/>
              <w:framePr w:w="34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Sr</w:t>
            </w:r>
          </w:p>
        </w:tc>
        <w:tc>
          <w:tcPr>
            <w:tcW w:w="1017" w:type="dxa"/>
            <w:shd w:val="clear" w:color="auto" w:fill="FFFFFF"/>
          </w:tcPr>
          <w:p w:rsidR="00521CBF" w:rsidRDefault="00521CBF" w:rsidP="00F061AF">
            <w:pPr>
              <w:pStyle w:val="1"/>
              <w:framePr w:w="34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?</w:t>
            </w:r>
          </w:p>
        </w:tc>
      </w:tr>
    </w:tbl>
    <w:p w:rsidR="00521CBF" w:rsidRDefault="00521CBF" w:rsidP="00521CBF">
      <w:pPr>
        <w:rPr>
          <w:sz w:val="2"/>
          <w:szCs w:val="2"/>
        </w:rPr>
      </w:pPr>
    </w:p>
    <w:p w:rsidR="00521CBF" w:rsidRDefault="00521CBF" w:rsidP="00521CBF">
      <w:pPr>
        <w:pStyle w:val="1"/>
        <w:shd w:val="clear" w:color="auto" w:fill="auto"/>
        <w:spacing w:before="1613" w:after="0" w:line="480" w:lineRule="exact"/>
        <w:ind w:left="20" w:right="760" w:firstLine="700"/>
        <w:jc w:val="both"/>
      </w:pPr>
      <w:r>
        <w:t>Урок тогда интересен, когда учитель способен увлечь ребят, удивить и в тоже время дать прочные знания. Успех, не важно каким путем он был достигнут, активизирует познавательную и мыслительную деятельность учащихся. Порой использование простейших приспособлений позволяют сэкономить время и превратить скучную процедуру закрепления и проверки знаний в увлекательную игру. Например, на обобщающем уроке по теме: “Классы неорганических веществ” можно провести графический диктант. Учитель диктует формулы, учащиеся рисуют условные знаки. Например:</w:t>
      </w: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/>
        <w:jc w:val="both"/>
      </w:pPr>
      <w:r>
        <w:t>V - кислота</w:t>
      </w: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 w:right="280" w:firstLine="700"/>
      </w:pPr>
    </w:p>
    <w:p w:rsidR="00521CBF" w:rsidRDefault="00521CBF" w:rsidP="00521CBF">
      <w:pPr>
        <w:pStyle w:val="1"/>
        <w:shd w:val="clear" w:color="auto" w:fill="auto"/>
        <w:tabs>
          <w:tab w:val="left" w:leader="underscore" w:pos="529"/>
        </w:tabs>
        <w:spacing w:before="0" w:after="155" w:line="270" w:lineRule="exact"/>
        <w:ind w:left="20"/>
        <w:jc w:val="both"/>
      </w:pPr>
      <w:bookmarkStart w:id="3" w:name="_GoBack"/>
      <w:bookmarkEnd w:id="3"/>
      <w:r w:rsidRPr="00050105">
        <w:t xml:space="preserve">- </w:t>
      </w:r>
      <w:r>
        <w:t>соль</w:t>
      </w:r>
    </w:p>
    <w:p w:rsidR="00521CBF" w:rsidRDefault="004202D0" w:rsidP="00521CBF">
      <w:pPr>
        <w:pStyle w:val="1"/>
        <w:shd w:val="clear" w:color="auto" w:fill="auto"/>
        <w:spacing w:before="0" w:after="589" w:line="270" w:lineRule="exact"/>
        <w:ind w:left="20" w:firstLine="700"/>
        <w:jc w:val="both"/>
      </w:pPr>
      <w:r>
        <w:lastRenderedPageBreak/>
        <w:t>∩</w:t>
      </w:r>
      <w:r w:rsidR="00521CBF" w:rsidRPr="00050105">
        <w:t xml:space="preserve">- </w:t>
      </w:r>
      <w:r w:rsidR="00521CBF">
        <w:t>оксид</w:t>
      </w:r>
    </w:p>
    <w:p w:rsidR="00521CBF" w:rsidRDefault="00521CBF" w:rsidP="00521CBF">
      <w:pPr>
        <w:pStyle w:val="1"/>
        <w:shd w:val="clear" w:color="auto" w:fill="auto"/>
        <w:tabs>
          <w:tab w:val="left" w:leader="underscore" w:pos="529"/>
        </w:tabs>
        <w:spacing w:before="0" w:after="474" w:line="270" w:lineRule="exact"/>
        <w:ind w:left="20"/>
        <w:jc w:val="both"/>
      </w:pPr>
      <w:r w:rsidRPr="00050105">
        <w:tab/>
        <w:t xml:space="preserve">- </w:t>
      </w:r>
      <w:r>
        <w:t>основание</w:t>
      </w: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 w:right="440" w:firstLine="700"/>
        <w:jc w:val="both"/>
      </w:pPr>
      <w:r>
        <w:t>Каждый знак занимает 1 клеточку и соединен со следующим. Диктант можно проводить по двум и более вариантам.</w:t>
      </w: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 w:firstLine="700"/>
        <w:jc w:val="both"/>
      </w:pPr>
      <w:r>
        <w:t>Вариант I</w:t>
      </w:r>
    </w:p>
    <w:p w:rsidR="00C075AC" w:rsidRDefault="00521CBF" w:rsidP="00C075AC">
      <w:pPr>
        <w:pStyle w:val="1"/>
        <w:numPr>
          <w:ilvl w:val="0"/>
          <w:numId w:val="2"/>
        </w:numPr>
        <w:shd w:val="clear" w:color="auto" w:fill="auto"/>
        <w:spacing w:before="0" w:after="0" w:line="480" w:lineRule="exact"/>
      </w:pPr>
      <w:r>
        <w:rPr>
          <w:lang w:val="en-US"/>
        </w:rPr>
        <w:t>S</w:t>
      </w:r>
      <w:r w:rsidRPr="00404DA7">
        <w:t>0</w:t>
      </w:r>
      <w:r w:rsidRPr="00404DA7">
        <w:rPr>
          <w:vertAlign w:val="subscript"/>
        </w:rPr>
        <w:t>2</w:t>
      </w:r>
      <w:r w:rsidR="00C075AC">
        <w:t xml:space="preserve">; </w:t>
      </w:r>
      <w:r w:rsidRPr="00404DA7">
        <w:t xml:space="preserve">2. </w:t>
      </w:r>
      <w:r>
        <w:t>Н</w:t>
      </w:r>
      <w:r w:rsidRPr="00404DA7">
        <w:rPr>
          <w:vertAlign w:val="subscript"/>
        </w:rPr>
        <w:t>3</w:t>
      </w:r>
      <w:r>
        <w:t>Р</w:t>
      </w:r>
      <w:r w:rsidRPr="00404DA7">
        <w:t>0</w:t>
      </w:r>
      <w:r w:rsidRPr="00404DA7">
        <w:rPr>
          <w:vertAlign w:val="subscript"/>
        </w:rPr>
        <w:t>4</w:t>
      </w:r>
      <w:r w:rsidRPr="00404DA7">
        <w:t xml:space="preserve">; 3. </w:t>
      </w:r>
      <w:r>
        <w:rPr>
          <w:lang w:val="en-US"/>
        </w:rPr>
        <w:t>Mg</w:t>
      </w:r>
      <w:r w:rsidRPr="00404DA7">
        <w:t>(</w:t>
      </w:r>
      <w:r>
        <w:rPr>
          <w:lang w:val="en-US"/>
        </w:rPr>
        <w:t>OH</w:t>
      </w:r>
      <w:r w:rsidRPr="00404DA7">
        <w:t>)</w:t>
      </w:r>
      <w:r w:rsidRPr="00404DA7">
        <w:rPr>
          <w:vertAlign w:val="subscript"/>
        </w:rPr>
        <w:t>2</w:t>
      </w:r>
      <w:r w:rsidR="00C075AC">
        <w:t>;</w:t>
      </w:r>
      <w:r w:rsidRPr="00404DA7">
        <w:t xml:space="preserve"> 4. </w:t>
      </w:r>
      <w:r>
        <w:rPr>
          <w:lang w:val="en-US"/>
        </w:rPr>
        <w:t>K</w:t>
      </w:r>
      <w:r w:rsidRPr="00C075AC">
        <w:rPr>
          <w:vertAlign w:val="subscript"/>
        </w:rPr>
        <w:t>2</w:t>
      </w:r>
      <w:r>
        <w:rPr>
          <w:lang w:val="en-US"/>
        </w:rPr>
        <w:t>S</w:t>
      </w:r>
      <w:r w:rsidRPr="00C075AC">
        <w:t>0</w:t>
      </w:r>
      <w:r w:rsidRPr="00C075AC">
        <w:rPr>
          <w:vertAlign w:val="subscript"/>
        </w:rPr>
        <w:t>4</w:t>
      </w:r>
      <w:r w:rsidRPr="00C075AC">
        <w:t>; 5.</w:t>
      </w:r>
      <w:r w:rsidR="00C075AC">
        <w:t xml:space="preserve"> </w:t>
      </w:r>
      <w:r>
        <w:rPr>
          <w:lang w:val="en-US"/>
        </w:rPr>
        <w:t>H</w:t>
      </w:r>
      <w:r w:rsidRPr="00C075AC">
        <w:rPr>
          <w:vertAlign w:val="subscript"/>
        </w:rPr>
        <w:t>2</w:t>
      </w:r>
      <w:r>
        <w:rPr>
          <w:lang w:val="en-US"/>
        </w:rPr>
        <w:t>S</w:t>
      </w:r>
      <w:r w:rsidRPr="00C075AC">
        <w:t>0</w:t>
      </w:r>
      <w:r w:rsidRPr="00C075AC">
        <w:rPr>
          <w:vertAlign w:val="subscript"/>
        </w:rPr>
        <w:t>4</w:t>
      </w:r>
      <w:r w:rsidRPr="00C075AC">
        <w:t>; 6.</w:t>
      </w:r>
      <w:r w:rsidR="00C075AC">
        <w:t xml:space="preserve"> </w:t>
      </w:r>
      <w:r>
        <w:t>КОН</w:t>
      </w:r>
      <w:r w:rsidRPr="00C075AC">
        <w:t xml:space="preserve">; 7. </w:t>
      </w:r>
      <w:r>
        <w:rPr>
          <w:lang w:val="en-US"/>
        </w:rPr>
        <w:t>P</w:t>
      </w:r>
      <w:r w:rsidRPr="00C075AC"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s</w:t>
      </w:r>
      <w:r w:rsidRPr="00C075AC">
        <w:t>; 8</w:t>
      </w:r>
      <w:r w:rsidR="00C075AC">
        <w:t xml:space="preserve">. </w:t>
      </w:r>
      <w:r>
        <w:rPr>
          <w:lang w:val="en-US"/>
        </w:rPr>
        <w:t>MgS</w:t>
      </w:r>
      <w:r w:rsidRPr="00C075AC">
        <w:t>0</w:t>
      </w:r>
      <w:r w:rsidRPr="00C075AC">
        <w:rPr>
          <w:vertAlign w:val="subscript"/>
        </w:rPr>
        <w:t>4</w:t>
      </w:r>
      <w:r w:rsidRPr="00C075AC">
        <w:t>; 9.</w:t>
      </w:r>
      <w:r w:rsidR="00C075AC">
        <w:t xml:space="preserve"> </w:t>
      </w:r>
      <w:r>
        <w:rPr>
          <w:lang w:val="en-US"/>
        </w:rPr>
        <w:t>NaOH</w:t>
      </w:r>
      <w:r w:rsidRPr="00C075AC">
        <w:t>;</w:t>
      </w:r>
      <w:r w:rsidR="00C075AC">
        <w:t xml:space="preserve"> </w:t>
      </w:r>
      <w:r w:rsidRPr="00C075AC">
        <w:t xml:space="preserve">10. </w:t>
      </w:r>
      <w:r>
        <w:rPr>
          <w:lang w:val="en-US"/>
        </w:rPr>
        <w:t>ZnO</w:t>
      </w:r>
      <w:r w:rsidRPr="00C075AC">
        <w:t xml:space="preserve">; 11. </w:t>
      </w:r>
      <w:r>
        <w:rPr>
          <w:lang w:val="en-US"/>
        </w:rPr>
        <w:t>ZnS</w:t>
      </w:r>
      <w:r w:rsidRPr="00C075AC">
        <w:t>0</w:t>
      </w:r>
      <w:r w:rsidRPr="00C075AC">
        <w:rPr>
          <w:vertAlign w:val="subscript"/>
        </w:rPr>
        <w:t>4</w:t>
      </w:r>
      <w:r w:rsidRPr="00C075AC">
        <w:t>; 12.</w:t>
      </w:r>
      <w:r w:rsidR="00C075AC">
        <w:t xml:space="preserve"> </w:t>
      </w:r>
      <w:r>
        <w:rPr>
          <w:lang w:val="en-US"/>
        </w:rPr>
        <w:t>Ca</w:t>
      </w:r>
      <w:r w:rsidRPr="00C075AC">
        <w:t>(</w:t>
      </w:r>
      <w:r>
        <w:rPr>
          <w:lang w:val="en-US"/>
        </w:rPr>
        <w:t>OH</w:t>
      </w:r>
      <w:r w:rsidRPr="00C075AC">
        <w:t>)</w:t>
      </w:r>
      <w:r w:rsidRPr="00C075AC">
        <w:rPr>
          <w:vertAlign w:val="subscript"/>
        </w:rPr>
        <w:t>2</w:t>
      </w:r>
      <w:r w:rsidRPr="00C075AC">
        <w:t xml:space="preserve">; 13. </w:t>
      </w:r>
      <w:r>
        <w:rPr>
          <w:lang w:val="en-US"/>
        </w:rPr>
        <w:t>H</w:t>
      </w:r>
      <w:r w:rsidRPr="00C075AC">
        <w:rPr>
          <w:vertAlign w:val="subscript"/>
        </w:rPr>
        <w:t>3</w:t>
      </w:r>
      <w:r>
        <w:rPr>
          <w:lang w:val="en-US"/>
        </w:rPr>
        <w:t>B</w:t>
      </w:r>
      <w:r w:rsidRPr="00C075AC">
        <w:t>0</w:t>
      </w:r>
      <w:r w:rsidRPr="00C075AC">
        <w:rPr>
          <w:vertAlign w:val="subscript"/>
        </w:rPr>
        <w:t>3</w:t>
      </w:r>
      <w:r w:rsidRPr="00C075AC">
        <w:t>; 14.</w:t>
      </w:r>
      <w:r w:rsidR="00C075AC">
        <w:t xml:space="preserve"> </w:t>
      </w:r>
      <w:r>
        <w:rPr>
          <w:lang w:val="en-US"/>
        </w:rPr>
        <w:t>FeS</w:t>
      </w:r>
      <w:r w:rsidRPr="00C075AC">
        <w:t>0</w:t>
      </w:r>
      <w:r w:rsidRPr="00C075AC">
        <w:rPr>
          <w:vertAlign w:val="subscript"/>
        </w:rPr>
        <w:t>4</w:t>
      </w:r>
      <w:r w:rsidRPr="00C075AC">
        <w:t>; 15.</w:t>
      </w:r>
      <w:r w:rsidR="00C075AC">
        <w:t xml:space="preserve"> </w:t>
      </w:r>
      <w:r>
        <w:rPr>
          <w:lang w:val="en-US"/>
        </w:rPr>
        <w:t>BaO</w:t>
      </w:r>
      <w:r w:rsidRPr="00C075AC">
        <w:t>.</w:t>
      </w:r>
      <w:r w:rsidR="00404DA7" w:rsidRPr="00C075AC">
        <w:t xml:space="preserve"> </w:t>
      </w:r>
    </w:p>
    <w:p w:rsidR="00521CBF" w:rsidRPr="00C075AC" w:rsidRDefault="00521CBF" w:rsidP="00C075AC">
      <w:pPr>
        <w:pStyle w:val="1"/>
        <w:numPr>
          <w:ilvl w:val="0"/>
          <w:numId w:val="2"/>
        </w:numPr>
        <w:shd w:val="clear" w:color="auto" w:fill="auto"/>
        <w:spacing w:before="0" w:after="0" w:line="480" w:lineRule="exact"/>
      </w:pPr>
      <w:r>
        <w:t>Правильный</w:t>
      </w:r>
      <w:r w:rsidRPr="00C075AC">
        <w:t xml:space="preserve"> </w:t>
      </w:r>
      <w:r>
        <w:t>ответ</w:t>
      </w:r>
      <w:r w:rsidR="00C075AC">
        <w:t>:</w:t>
      </w:r>
    </w:p>
    <w:p w:rsidR="00521CBF" w:rsidRDefault="00521CBF" w:rsidP="00521CBF">
      <w:pPr>
        <w:framePr w:h="408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67300" cy="266700"/>
            <wp:effectExtent l="0" t="0" r="0" b="0"/>
            <wp:docPr id="2" name="Рисунок 2" descr="E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BF" w:rsidRDefault="00521CBF" w:rsidP="00521CBF">
      <w:pPr>
        <w:rPr>
          <w:sz w:val="2"/>
          <w:szCs w:val="2"/>
        </w:rPr>
      </w:pPr>
    </w:p>
    <w:p w:rsidR="00521CBF" w:rsidRDefault="00521CBF" w:rsidP="00521CBF">
      <w:pPr>
        <w:pStyle w:val="1"/>
        <w:shd w:val="clear" w:color="auto" w:fill="auto"/>
        <w:spacing w:before="949" w:after="0" w:line="485" w:lineRule="exact"/>
        <w:ind w:left="20" w:right="1040"/>
      </w:pPr>
      <w:r>
        <w:t>Проверить работы всего класса можно за 5-7 минут, подставив сверху к изображениям, полученным учащимися, заранее сделанные «ключи».</w:t>
      </w:r>
    </w:p>
    <w:p w:rsidR="00521CBF" w:rsidRDefault="00C075AC" w:rsidP="00C075AC">
      <w:pPr>
        <w:pStyle w:val="1"/>
        <w:shd w:val="clear" w:color="auto" w:fill="auto"/>
        <w:spacing w:before="0" w:after="83" w:line="485" w:lineRule="exact"/>
      </w:pPr>
      <w:r>
        <w:t>«Ключ»:</w:t>
      </w:r>
    </w:p>
    <w:p w:rsidR="00521CBF" w:rsidRDefault="00521CBF" w:rsidP="00521CBF">
      <w:pPr>
        <w:framePr w:h="403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191125" cy="257175"/>
            <wp:effectExtent l="0" t="0" r="0" b="0"/>
            <wp:docPr id="1" name="Рисунок 1" descr="E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BF" w:rsidRDefault="00521CBF" w:rsidP="00521CBF">
      <w:pPr>
        <w:rPr>
          <w:sz w:val="2"/>
          <w:szCs w:val="2"/>
        </w:rPr>
      </w:pPr>
    </w:p>
    <w:p w:rsidR="00521CBF" w:rsidRDefault="00521CBF" w:rsidP="00521CBF">
      <w:pPr>
        <w:pStyle w:val="1"/>
        <w:shd w:val="clear" w:color="auto" w:fill="auto"/>
        <w:spacing w:before="926" w:after="428" w:line="490" w:lineRule="exact"/>
        <w:ind w:left="20" w:right="440" w:firstLine="700"/>
        <w:jc w:val="both"/>
      </w:pPr>
      <w:r>
        <w:t>«Ключи» для всех вариантов ответов изготовлены на плотном листе бумаги.</w:t>
      </w:r>
    </w:p>
    <w:p w:rsidR="004202D0" w:rsidRDefault="00521CBF" w:rsidP="004202D0">
      <w:pPr>
        <w:pStyle w:val="1"/>
        <w:shd w:val="clear" w:color="auto" w:fill="auto"/>
        <w:spacing w:before="0" w:after="0" w:line="480" w:lineRule="exact"/>
        <w:ind w:left="20" w:right="440" w:firstLine="700"/>
        <w:jc w:val="both"/>
      </w:pPr>
      <w:r>
        <w:t xml:space="preserve">Не менее важную роль в развитии познавательных интересов учащихся играют интеллектуально-творческие игры. Они дают возможность ребятам самоутвердиться и реализовать себя в интеллектуально-творческой сфере, через игру помогают восполнить дефицит общения. Можно выделить 5 типов игр: зрелищные (“Что? Где? Когда?”, “Брейн-ринг”, “Поле чудес” </w:t>
      </w:r>
      <w:r w:rsidR="00C075AC">
        <w:t>и т.д.</w:t>
      </w:r>
      <w:r>
        <w:t>),</w:t>
      </w:r>
      <w:r w:rsidR="00404DA7">
        <w:t xml:space="preserve"> </w:t>
      </w:r>
      <w:r w:rsidR="004202D0">
        <w:t xml:space="preserve">коммуникативно-зрелищные (в таких играх каждый школьник лично участвует в выполнении задания и одновременно выступает в роли зрителя. Например: “Защита проектов”, “Защита профессии”, “Пресс-конференция”); коммуникативно-игровые или игры-путешествия (“Путешествие в мир химии”, </w:t>
      </w:r>
      <w:r w:rsidR="002940F7">
        <w:lastRenderedPageBreak/>
        <w:t>“Интеллектуальная ярмарка” и т.д.</w:t>
      </w:r>
      <w:r w:rsidR="004202D0">
        <w:t>); личностно-коммуникативные (например, в игре “Город находчивых предпринимателей” каждый участник стремится “открыть свое дело”); заочные (в этих играх задания игроки получают через “средства массовой информации”).</w:t>
      </w:r>
    </w:p>
    <w:p w:rsidR="004202D0" w:rsidRDefault="004202D0" w:rsidP="004202D0">
      <w:pPr>
        <w:pStyle w:val="1"/>
        <w:shd w:val="clear" w:color="auto" w:fill="auto"/>
        <w:spacing w:before="0" w:after="0" w:line="480" w:lineRule="exact"/>
        <w:ind w:left="20" w:right="300" w:firstLine="700"/>
      </w:pPr>
      <w:r>
        <w:t>Большое значение в развитии творческих способностей учащихся играет химический эксперимент. Эксперимент не только обогащает учащихся новыми понятиями и умениями, навыками, но и является способом проверки истинности приобретенных ими знаний, способствует более глубокому пониманию материала, усвоению знаний. Для развития творческих способностей учащихся я предлагаю им проводить простые химические эксперименты в домашних условиях. Каждый такой эксперимент увеличивает кругозор ребенка, позволяет ближе ознакомить учащихся не только с самими явлениями, но и с методами химической науки.</w:t>
      </w:r>
    </w:p>
    <w:p w:rsidR="004202D0" w:rsidRDefault="002940F7" w:rsidP="004202D0">
      <w:pPr>
        <w:pStyle w:val="1"/>
        <w:shd w:val="clear" w:color="auto" w:fill="auto"/>
        <w:spacing w:before="0" w:after="0" w:line="480" w:lineRule="exact"/>
        <w:ind w:left="20" w:right="300" w:firstLine="700"/>
      </w:pPr>
      <w:r>
        <w:t>Учащиеся делают дома также</w:t>
      </w:r>
      <w:r w:rsidR="004202D0">
        <w:t xml:space="preserve"> творческие работы. Например, выращивание кристаллов разнообразных форм и размеров из растворов солей разных металлов различной окраски.</w:t>
      </w:r>
    </w:p>
    <w:p w:rsidR="004202D0" w:rsidRDefault="004202D0" w:rsidP="002940F7">
      <w:pPr>
        <w:pStyle w:val="1"/>
        <w:shd w:val="clear" w:color="auto" w:fill="auto"/>
        <w:spacing w:before="0" w:after="0" w:line="480" w:lineRule="exact"/>
        <w:ind w:left="20" w:right="300" w:firstLine="689"/>
      </w:pPr>
      <w:r>
        <w:t>В последнее время активно используются аудио-визуальные пособия, которые являются важными средствами наглядности. При работе с этими пособиями учащиеся получают много образных представлений. Методы использования экранных пособий находятся в зависимости от дидактической цели и содержания учебного материала.</w:t>
      </w:r>
    </w:p>
    <w:p w:rsidR="004202D0" w:rsidRDefault="004202D0" w:rsidP="002940F7">
      <w:pPr>
        <w:pStyle w:val="1"/>
        <w:shd w:val="clear" w:color="auto" w:fill="auto"/>
        <w:spacing w:before="0" w:after="0" w:line="480" w:lineRule="exact"/>
        <w:ind w:left="20" w:right="580" w:firstLine="689"/>
      </w:pPr>
      <w:r>
        <w:t>Методы обучения химии - сложная категория; через них устанавливается связь между химическим содержанием и процессом его усвоения учащимися. Методы и содержание образуют диалектическое единство. Усваивая содержание, ученик воспринимает и метод его изучения,</w:t>
      </w:r>
      <w:r w:rsidR="00404DA7">
        <w:t xml:space="preserve"> </w:t>
      </w:r>
      <w:r>
        <w:t>который может быть в дальнейшем применен и по отношению к другому содержанию.</w:t>
      </w:r>
    </w:p>
    <w:p w:rsidR="004202D0" w:rsidRDefault="004202D0" w:rsidP="004202D0">
      <w:pPr>
        <w:pStyle w:val="1"/>
        <w:shd w:val="clear" w:color="auto" w:fill="auto"/>
        <w:spacing w:before="0" w:after="0" w:line="480" w:lineRule="exact"/>
        <w:ind w:left="20" w:right="260" w:firstLine="700"/>
      </w:pPr>
      <w:r>
        <w:t>Одна из форм реализация творческой активности гимназистов - участие в предметной неделе, где ребята проявляют свое творчество, работают с литературой, готовят различные газеты, изготавливают модели различных веществ, выполняют творческие задания: готовят сценки, сочиняют стихи, частушки и т.д.</w:t>
      </w:r>
    </w:p>
    <w:p w:rsidR="004202D0" w:rsidRDefault="004202D0" w:rsidP="004202D0">
      <w:pPr>
        <w:pStyle w:val="1"/>
        <w:shd w:val="clear" w:color="auto" w:fill="auto"/>
        <w:spacing w:before="0" w:after="0" w:line="480" w:lineRule="exact"/>
        <w:ind w:left="20" w:right="260" w:firstLine="700"/>
      </w:pPr>
      <w:r>
        <w:lastRenderedPageBreak/>
        <w:t>Каждый ребенок может реализовать свои индивидуальные возможности и творчес</w:t>
      </w:r>
      <w:r w:rsidR="008751F3">
        <w:t>кие способности.  О</w:t>
      </w:r>
      <w:r>
        <w:t xml:space="preserve">собое внимание для пробуждения интереса к новому предмету, развития познавательной активности, а </w:t>
      </w:r>
      <w:r w:rsidR="002940F7">
        <w:t>следовательно</w:t>
      </w:r>
      <w:r>
        <w:t xml:space="preserve"> и усвоения прочных знаний необходим</w:t>
      </w:r>
      <w:r w:rsidR="002940F7">
        <w:t>о</w:t>
      </w:r>
      <w:r>
        <w:t xml:space="preserve"> при первом знакомстве с новым предметом.</w:t>
      </w:r>
    </w:p>
    <w:p w:rsidR="004202D0" w:rsidRDefault="004202D0" w:rsidP="004202D0">
      <w:pPr>
        <w:pStyle w:val="1"/>
        <w:shd w:val="clear" w:color="auto" w:fill="auto"/>
        <w:spacing w:before="0" w:after="0" w:line="480" w:lineRule="exact"/>
        <w:ind w:left="20" w:right="300" w:firstLine="700"/>
      </w:pPr>
    </w:p>
    <w:p w:rsidR="00521CBF" w:rsidRDefault="00521CBF" w:rsidP="00521CBF">
      <w:pPr>
        <w:pStyle w:val="1"/>
        <w:shd w:val="clear" w:color="auto" w:fill="auto"/>
        <w:spacing w:before="0" w:after="0" w:line="480" w:lineRule="exact"/>
        <w:ind w:left="20" w:right="280" w:firstLine="700"/>
      </w:pPr>
    </w:p>
    <w:p w:rsidR="00521CBF" w:rsidRPr="00521CBF" w:rsidRDefault="00521CBF" w:rsidP="00521CBF">
      <w:pPr>
        <w:spacing w:line="480" w:lineRule="exact"/>
        <w:ind w:left="20" w:right="300" w:firstLine="700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521CBF" w:rsidRDefault="00521CBF">
      <w:pPr>
        <w:pStyle w:val="30"/>
        <w:shd w:val="clear" w:color="auto" w:fill="auto"/>
        <w:spacing w:before="0" w:line="290" w:lineRule="exact"/>
        <w:ind w:left="3140"/>
      </w:pPr>
    </w:p>
    <w:p w:rsidR="00521CBF" w:rsidRDefault="00521CBF">
      <w:pPr>
        <w:pStyle w:val="30"/>
        <w:shd w:val="clear" w:color="auto" w:fill="auto"/>
        <w:spacing w:before="0" w:line="290" w:lineRule="exact"/>
        <w:ind w:left="3140"/>
      </w:pPr>
    </w:p>
    <w:sectPr w:rsidR="00521CBF" w:rsidSect="0050204C">
      <w:type w:val="continuous"/>
      <w:pgSz w:w="11909" w:h="16838"/>
      <w:pgMar w:top="1230" w:right="883" w:bottom="1259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8B" w:rsidRDefault="00FA5A8B">
      <w:r>
        <w:separator/>
      </w:r>
    </w:p>
  </w:endnote>
  <w:endnote w:type="continuationSeparator" w:id="1">
    <w:p w:rsidR="00FA5A8B" w:rsidRDefault="00FA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8B" w:rsidRDefault="00FA5A8B"/>
  </w:footnote>
  <w:footnote w:type="continuationSeparator" w:id="1">
    <w:p w:rsidR="00FA5A8B" w:rsidRDefault="00FA5A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2336"/>
    <w:multiLevelType w:val="hybridMultilevel"/>
    <w:tmpl w:val="9D0A02F4"/>
    <w:lvl w:ilvl="0" w:tplc="C99038B4">
      <w:start w:val="1"/>
      <w:numFmt w:val="decimal"/>
      <w:lvlText w:val="%1."/>
      <w:lvlJc w:val="left"/>
      <w:pPr>
        <w:ind w:left="10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54F0F34"/>
    <w:multiLevelType w:val="multilevel"/>
    <w:tmpl w:val="E584A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44C73"/>
    <w:rsid w:val="001D01EB"/>
    <w:rsid w:val="002940F7"/>
    <w:rsid w:val="003805C5"/>
    <w:rsid w:val="00404DA7"/>
    <w:rsid w:val="004202D0"/>
    <w:rsid w:val="005001BA"/>
    <w:rsid w:val="0050204C"/>
    <w:rsid w:val="00521CBF"/>
    <w:rsid w:val="0053201B"/>
    <w:rsid w:val="006C2FCD"/>
    <w:rsid w:val="00712EFA"/>
    <w:rsid w:val="00844C73"/>
    <w:rsid w:val="008751F3"/>
    <w:rsid w:val="00A00028"/>
    <w:rsid w:val="00C075AC"/>
    <w:rsid w:val="00E05ED8"/>
    <w:rsid w:val="00FA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0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04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0204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w w:val="50"/>
      <w:sz w:val="84"/>
      <w:szCs w:val="84"/>
      <w:u w:val="none"/>
    </w:rPr>
  </w:style>
  <w:style w:type="character" w:customStyle="1" w:styleId="a4">
    <w:name w:val="Основной текст_"/>
    <w:basedOn w:val="a0"/>
    <w:link w:val="1"/>
    <w:rsid w:val="00502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02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paragraph" w:customStyle="1" w:styleId="20">
    <w:name w:val="Основной текст (2)"/>
    <w:basedOn w:val="a"/>
    <w:link w:val="2"/>
    <w:rsid w:val="0050204C"/>
    <w:pPr>
      <w:shd w:val="clear" w:color="auto" w:fill="FFFFFF"/>
      <w:spacing w:after="1920" w:line="0" w:lineRule="atLeast"/>
      <w:jc w:val="center"/>
    </w:pPr>
    <w:rPr>
      <w:rFonts w:ascii="Arial Unicode MS" w:eastAsia="Arial Unicode MS" w:hAnsi="Arial Unicode MS" w:cs="Arial Unicode MS"/>
      <w:spacing w:val="-20"/>
      <w:w w:val="50"/>
      <w:sz w:val="84"/>
      <w:szCs w:val="84"/>
    </w:rPr>
  </w:style>
  <w:style w:type="paragraph" w:customStyle="1" w:styleId="1">
    <w:name w:val="Основной текст1"/>
    <w:basedOn w:val="a"/>
    <w:link w:val="a4"/>
    <w:rsid w:val="0050204C"/>
    <w:pPr>
      <w:shd w:val="clear" w:color="auto" w:fill="FFFFFF"/>
      <w:spacing w:before="3060" w:after="30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0204C"/>
    <w:pPr>
      <w:shd w:val="clear" w:color="auto" w:fill="FFFFFF"/>
      <w:spacing w:before="300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1">
    <w:name w:val="Заголовок №2_"/>
    <w:basedOn w:val="a0"/>
    <w:link w:val="22"/>
    <w:rsid w:val="00521C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521C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2">
    <w:name w:val="Заголовок №2"/>
    <w:basedOn w:val="a"/>
    <w:link w:val="21"/>
    <w:rsid w:val="00521CBF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4">
    <w:name w:val="Основной текст (4)_"/>
    <w:basedOn w:val="a0"/>
    <w:link w:val="40"/>
    <w:rsid w:val="00521C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1CBF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105pt">
    <w:name w:val="Основной текст + 10;5 pt"/>
    <w:basedOn w:val="a4"/>
    <w:rsid w:val="00521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21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C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Даниил</cp:lastModifiedBy>
  <cp:revision>8</cp:revision>
  <dcterms:created xsi:type="dcterms:W3CDTF">2013-04-18T16:06:00Z</dcterms:created>
  <dcterms:modified xsi:type="dcterms:W3CDTF">2014-01-31T11:03:00Z</dcterms:modified>
</cp:coreProperties>
</file>