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B1" w:rsidRPr="009E3C71" w:rsidRDefault="002C2EB1" w:rsidP="009E3C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3C71">
        <w:rPr>
          <w:rFonts w:ascii="Times New Roman" w:hAnsi="Times New Roman" w:cs="Times New Roman"/>
          <w:sz w:val="24"/>
          <w:szCs w:val="24"/>
          <w:u w:val="single"/>
        </w:rPr>
        <w:t>Дьяченко Наталь</w:t>
      </w:r>
      <w:r w:rsidR="0052473A">
        <w:rPr>
          <w:rFonts w:ascii="Times New Roman" w:hAnsi="Times New Roman" w:cs="Times New Roman"/>
          <w:sz w:val="24"/>
          <w:szCs w:val="24"/>
          <w:u w:val="single"/>
        </w:rPr>
        <w:t>я Юрьевна</w:t>
      </w:r>
      <w:bookmarkStart w:id="0" w:name="_GoBack"/>
      <w:bookmarkEnd w:id="0"/>
    </w:p>
    <w:p w:rsidR="001C4188" w:rsidRPr="009E3C71" w:rsidRDefault="001C4188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 Тема:  «Личностное восприятие учащимися художественных произведений разных жанров».</w:t>
      </w:r>
    </w:p>
    <w:p w:rsidR="002C2EB1" w:rsidRPr="009E3C71" w:rsidRDefault="002C2EB1" w:rsidP="009E3C71">
      <w:pPr>
        <w:rPr>
          <w:rFonts w:ascii="Times New Roman" w:hAnsi="Times New Roman" w:cs="Times New Roman"/>
          <w:sz w:val="24"/>
          <w:szCs w:val="24"/>
        </w:rPr>
      </w:pPr>
    </w:p>
    <w:p w:rsidR="002C2EB1" w:rsidRPr="009E3C71" w:rsidRDefault="002C2EB1" w:rsidP="009E3C71">
      <w:pPr>
        <w:rPr>
          <w:rFonts w:ascii="Times New Roman" w:hAnsi="Times New Roman" w:cs="Times New Roman"/>
          <w:b/>
          <w:sz w:val="24"/>
          <w:szCs w:val="24"/>
        </w:rPr>
      </w:pPr>
      <w:r w:rsidRPr="009E3C7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E3C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E3C71">
        <w:rPr>
          <w:rFonts w:ascii="Times New Roman" w:hAnsi="Times New Roman" w:cs="Times New Roman"/>
          <w:b/>
          <w:sz w:val="24"/>
          <w:szCs w:val="24"/>
        </w:rPr>
        <w:t>«Книга дает возможность человеку подняться над самим собой»</w:t>
      </w:r>
    </w:p>
    <w:p w:rsidR="002C2EB1" w:rsidRPr="009E3C71" w:rsidRDefault="002C2EB1" w:rsidP="009E3C71">
      <w:pPr>
        <w:rPr>
          <w:rFonts w:ascii="Times New Roman" w:hAnsi="Times New Roman" w:cs="Times New Roman"/>
          <w:b/>
          <w:sz w:val="24"/>
          <w:szCs w:val="24"/>
        </w:rPr>
      </w:pPr>
      <w:r w:rsidRPr="009E3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9E3C7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9E3C71" w:rsidRPr="009E3C71">
        <w:rPr>
          <w:rFonts w:ascii="Times New Roman" w:hAnsi="Times New Roman" w:cs="Times New Roman"/>
          <w:b/>
          <w:sz w:val="24"/>
          <w:szCs w:val="24"/>
        </w:rPr>
        <w:t>А.Моруа</w:t>
      </w:r>
      <w:proofErr w:type="spellEnd"/>
      <w:r w:rsidR="009E3C71" w:rsidRPr="009E3C71">
        <w:rPr>
          <w:rFonts w:ascii="Times New Roman" w:hAnsi="Times New Roman" w:cs="Times New Roman"/>
          <w:b/>
          <w:sz w:val="24"/>
          <w:szCs w:val="24"/>
        </w:rPr>
        <w:t>.</w:t>
      </w:r>
      <w:r w:rsidR="009E3C7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E3C71">
        <w:rPr>
          <w:rFonts w:ascii="Times New Roman" w:hAnsi="Times New Roman" w:cs="Times New Roman"/>
          <w:sz w:val="24"/>
          <w:szCs w:val="24"/>
        </w:rPr>
        <w:t xml:space="preserve"> </w:t>
      </w:r>
      <w:r w:rsidRPr="009E3C71">
        <w:rPr>
          <w:rFonts w:ascii="Times New Roman" w:hAnsi="Times New Roman" w:cs="Times New Roman"/>
          <w:b/>
          <w:bCs/>
          <w:sz w:val="24"/>
          <w:szCs w:val="24"/>
        </w:rPr>
        <w:t xml:space="preserve"> «Понимание речи заключается в цепи ассоциаций», - писал </w:t>
      </w:r>
      <w:proofErr w:type="spellStart"/>
      <w:r w:rsidRPr="009E3C71">
        <w:rPr>
          <w:rFonts w:ascii="Times New Roman" w:hAnsi="Times New Roman" w:cs="Times New Roman"/>
          <w:b/>
          <w:bCs/>
          <w:sz w:val="24"/>
          <w:szCs w:val="24"/>
        </w:rPr>
        <w:t>Л.Выготский</w:t>
      </w:r>
      <w:proofErr w:type="spellEnd"/>
    </w:p>
    <w:p w:rsidR="002C2EB1" w:rsidRPr="009E3C71" w:rsidRDefault="002C2EB1" w:rsidP="009E3C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3C71">
        <w:rPr>
          <w:rFonts w:ascii="Times New Roman" w:hAnsi="Times New Roman" w:cs="Times New Roman"/>
          <w:b/>
          <w:bCs/>
          <w:sz w:val="24"/>
          <w:szCs w:val="24"/>
        </w:rPr>
        <w:t xml:space="preserve">«Наша задача – помочь детям увидеть и «расшифровать» изобразительно  -  выразительные средства языка, и путь к этому  - двойное – аналитическое и синтетическое – прочтение художественного текста», </w:t>
      </w:r>
      <w:proofErr w:type="gramStart"/>
      <w:r w:rsidRPr="009E3C71">
        <w:rPr>
          <w:rFonts w:ascii="Times New Roman" w:hAnsi="Times New Roman" w:cs="Times New Roman"/>
          <w:b/>
          <w:bCs/>
          <w:sz w:val="24"/>
          <w:szCs w:val="24"/>
        </w:rPr>
        <w:t>-п</w:t>
      </w:r>
      <w:proofErr w:type="gramEnd"/>
      <w:r w:rsidRPr="009E3C71">
        <w:rPr>
          <w:rFonts w:ascii="Times New Roman" w:hAnsi="Times New Roman" w:cs="Times New Roman"/>
          <w:b/>
          <w:bCs/>
          <w:sz w:val="24"/>
          <w:szCs w:val="24"/>
        </w:rPr>
        <w:t xml:space="preserve">исал  </w:t>
      </w:r>
      <w:proofErr w:type="spellStart"/>
      <w:r w:rsidRPr="009E3C71">
        <w:rPr>
          <w:rFonts w:ascii="Times New Roman" w:hAnsi="Times New Roman" w:cs="Times New Roman"/>
          <w:b/>
          <w:bCs/>
          <w:sz w:val="24"/>
          <w:szCs w:val="24"/>
        </w:rPr>
        <w:t>Н.М.Шанский</w:t>
      </w:r>
      <w:proofErr w:type="spellEnd"/>
      <w:r w:rsidRPr="009E3C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C2EB1" w:rsidRPr="009E3C71" w:rsidRDefault="002C2EB1" w:rsidP="009E3C7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 xml:space="preserve">Главная цель школьного обучения - формирование личности ученика. Литература как учебный предмет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облагораживает чувства. Чем глубже и полнее воспринято читателем то или иное произведение, тем больше воздействие на личность оно оказывает. В качестве одной из ведущих задач обучения школьная программа выдвигает задачу обучения восприятию художественного произведения, </w:t>
      </w:r>
      <w:proofErr w:type="gramStart"/>
      <w:r w:rsidRPr="009E3C71">
        <w:rPr>
          <w:rFonts w:ascii="Times New Roman" w:hAnsi="Times New Roman" w:cs="Times New Roman"/>
          <w:bCs/>
          <w:sz w:val="24"/>
          <w:szCs w:val="24"/>
        </w:rPr>
        <w:t>следовательно</w:t>
      </w:r>
      <w:proofErr w:type="gramEnd"/>
      <w:r w:rsidRPr="009E3C71">
        <w:rPr>
          <w:rFonts w:ascii="Times New Roman" w:hAnsi="Times New Roman" w:cs="Times New Roman"/>
          <w:bCs/>
          <w:sz w:val="24"/>
          <w:szCs w:val="24"/>
        </w:rPr>
        <w:t xml:space="preserve"> учителю необходимо знать особенности восприятия литературно-художественного произведения школьниками.</w:t>
      </w:r>
    </w:p>
    <w:p w:rsidR="00206BAD" w:rsidRPr="009E3C71" w:rsidRDefault="00206BAD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Возрастная динамика понимания художественного произведения может быть представлена как некий путь от сопереживания конкретному герою, сочувствия ему к пониманию авторской позиции и далее к обобщенному восприятию художественного мира и осознанию своего к нему отношения, к осмыслению влияния произведения на свои личностные установки.</w:t>
      </w:r>
    </w:p>
    <w:p w:rsidR="00206BAD" w:rsidRPr="009E3C71" w:rsidRDefault="00206BAD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Поскольку художественный текст допускает возможность различных трактовок, в методике принято говорить не о правильном, а о полноценном восприятии.</w:t>
      </w:r>
    </w:p>
    <w:p w:rsidR="00206BAD" w:rsidRPr="009E3C71" w:rsidRDefault="00206BAD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3C71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Воюшина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под полноценным восприятием понимает способность читателя сопереживать героям м автору произведения,  видеть динамику эмоций, воспроизводить в воображении картины жизни, созданные писателем, размышлять над мотивами, обстоятельствами, последствиями поступков персонажей, оценивать героев произведения, определять авторскую позицию, осваивать идею произведения, то есть находить в своей </w:t>
      </w:r>
      <w:r w:rsidRPr="009E3C71">
        <w:rPr>
          <w:rFonts w:ascii="Times New Roman" w:hAnsi="Times New Roman" w:cs="Times New Roman"/>
          <w:sz w:val="24"/>
          <w:szCs w:val="24"/>
        </w:rPr>
        <w:lastRenderedPageBreak/>
        <w:t>душе отклик на поставленные автором проблемы.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 Полноценное восприятие произведения свидетельствует о высоком уровне литературного развития.</w:t>
      </w:r>
    </w:p>
    <w:p w:rsidR="00C23091" w:rsidRPr="009E3C71" w:rsidRDefault="001C4188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Работа с текстом на уроках русского языка и литературы – одно из условий развития творческого потенциала учащихся, пополнения их словарного запаса, улучшения качества речи, эта работа включает в себя, прежде всего, смысловое чтение. </w:t>
      </w:r>
      <w:r w:rsidRPr="009E3C71">
        <w:rPr>
          <w:rFonts w:ascii="Times New Roman" w:hAnsi="Times New Roman" w:cs="Times New Roman"/>
          <w:sz w:val="24"/>
          <w:szCs w:val="24"/>
        </w:rPr>
        <w:br/>
      </w:r>
      <w:r w:rsidR="00C23091" w:rsidRPr="009E3C71">
        <w:rPr>
          <w:rFonts w:ascii="Times New Roman" w:hAnsi="Times New Roman" w:cs="Times New Roman"/>
          <w:b/>
          <w:bCs/>
          <w:sz w:val="24"/>
          <w:szCs w:val="24"/>
        </w:rPr>
        <w:t xml:space="preserve">К организации работы с текстом  выдвигаются особые требования:  </w:t>
      </w:r>
    </w:p>
    <w:p w:rsidR="00BC1817" w:rsidRPr="009E3C71" w:rsidRDefault="00C23091" w:rsidP="009E3C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 xml:space="preserve">восприятие текста (на слух или зрительно при особом настрое, который помог бы ввести ребенка в систему художественных образов анализируемого текста); </w:t>
      </w:r>
    </w:p>
    <w:p w:rsidR="00BC1817" w:rsidRPr="009E3C71" w:rsidRDefault="00C23091" w:rsidP="009E3C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 xml:space="preserve">его лингвистический анализ (осознание учащимися изобразительно выразительных возможностей тех языковых явлений, которые изучаются в школе);  </w:t>
      </w:r>
    </w:p>
    <w:p w:rsidR="00BC1817" w:rsidRPr="009E3C71" w:rsidRDefault="00C23091" w:rsidP="009E3C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 xml:space="preserve">выразительное чтение (знакомство с основными элементами интонации: логическое ударение, пауза, темп чтения, тембр голоса, тон, понижение/повышение голоса).   </w:t>
      </w:r>
    </w:p>
    <w:p w:rsidR="00BC1817" w:rsidRPr="009E3C71" w:rsidRDefault="00C23091" w:rsidP="009E3C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 xml:space="preserve">заучивание наизусть (тренируется память, обогащается словарный запас не отдельными словами, а словосочетаниями, фразами, крылатыми выражениями и т.п., которые позже активно используются в речи учащихся);  </w:t>
      </w:r>
    </w:p>
    <w:p w:rsidR="00BC1817" w:rsidRPr="009E3C71" w:rsidRDefault="00C23091" w:rsidP="009E3C7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>5) проведение творческой работы на основе проанализированного текста</w:t>
      </w:r>
      <w:r w:rsidRPr="009E3C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4188" w:rsidRPr="009E3C71" w:rsidRDefault="00C23091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Обучение учащихся грамотному, зрелому чтению – это процесс восприятия и активной переработки информации:</w:t>
      </w:r>
      <w:r w:rsidRPr="009E3C71">
        <w:rPr>
          <w:rFonts w:ascii="Times New Roman" w:hAnsi="Times New Roman" w:cs="Times New Roman"/>
          <w:sz w:val="24"/>
          <w:szCs w:val="24"/>
        </w:rPr>
        <w:br/>
        <w:t xml:space="preserve">В ходе </w:t>
      </w:r>
      <w:r w:rsidRPr="009E3C71">
        <w:rPr>
          <w:rFonts w:ascii="Times New Roman" w:hAnsi="Times New Roman" w:cs="Times New Roman"/>
          <w:b/>
          <w:bCs/>
          <w:sz w:val="24"/>
          <w:szCs w:val="24"/>
        </w:rPr>
        <w:t>смыслового чтения</w:t>
      </w:r>
      <w:r w:rsidRPr="009E3C71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Pr="009E3C71">
        <w:rPr>
          <w:rFonts w:ascii="Times New Roman" w:hAnsi="Times New Roman" w:cs="Times New Roman"/>
          <w:sz w:val="24"/>
          <w:szCs w:val="24"/>
          <w:u w:val="single"/>
        </w:rPr>
        <w:t xml:space="preserve">умение членить </w:t>
      </w:r>
      <w:r w:rsidRPr="009E3C71">
        <w:rPr>
          <w:rFonts w:ascii="Times New Roman" w:hAnsi="Times New Roman" w:cs="Times New Roman"/>
          <w:sz w:val="24"/>
          <w:szCs w:val="24"/>
        </w:rPr>
        <w:t xml:space="preserve">текст на смысловые куски и определяется связь между ними, </w:t>
      </w:r>
      <w:r w:rsidRPr="009E3C71">
        <w:rPr>
          <w:rFonts w:ascii="Times New Roman" w:hAnsi="Times New Roman" w:cs="Times New Roman"/>
          <w:sz w:val="24"/>
          <w:szCs w:val="24"/>
          <w:u w:val="single"/>
        </w:rPr>
        <w:t>находить</w:t>
      </w:r>
      <w:r w:rsidRPr="009E3C71">
        <w:rPr>
          <w:rFonts w:ascii="Times New Roman" w:hAnsi="Times New Roman" w:cs="Times New Roman"/>
          <w:sz w:val="24"/>
          <w:szCs w:val="24"/>
        </w:rPr>
        <w:t xml:space="preserve"> опорные слова, предложения, группировать излагаемые факты, ориентироваться в тексте.</w:t>
      </w:r>
    </w:p>
    <w:p w:rsidR="00C23091" w:rsidRPr="009E3C71" w:rsidRDefault="00C23091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bCs/>
          <w:sz w:val="24"/>
          <w:szCs w:val="24"/>
        </w:rPr>
        <w:t>Приблизиться, прикоснуться к «словесной ткани» художественного произведения — значит найти путь к постижению его содержания, авторского за</w:t>
      </w:r>
      <w:r w:rsidRPr="009E3C71">
        <w:rPr>
          <w:rFonts w:ascii="Times New Roman" w:hAnsi="Times New Roman" w:cs="Times New Roman"/>
          <w:bCs/>
          <w:sz w:val="24"/>
          <w:szCs w:val="24"/>
        </w:rPr>
        <w:softHyphen/>
        <w:t xml:space="preserve">мысла, значит попытаться разгадать загадку, тайну, которая заключена в каждом истинном создании мастеров искусства слова. Вспомним слова замечательного филолога А. А. </w:t>
      </w:r>
      <w:proofErr w:type="spellStart"/>
      <w:r w:rsidRPr="009E3C71">
        <w:rPr>
          <w:rFonts w:ascii="Times New Roman" w:hAnsi="Times New Roman" w:cs="Times New Roman"/>
          <w:bCs/>
          <w:sz w:val="24"/>
          <w:szCs w:val="24"/>
        </w:rPr>
        <w:t>Потебни</w:t>
      </w:r>
      <w:proofErr w:type="spellEnd"/>
      <w:r w:rsidRPr="009E3C71">
        <w:rPr>
          <w:rFonts w:ascii="Times New Roman" w:hAnsi="Times New Roman" w:cs="Times New Roman"/>
          <w:bCs/>
          <w:sz w:val="24"/>
          <w:szCs w:val="24"/>
        </w:rPr>
        <w:t>: «Понимание есть повторение процесса творчества в измененном порядке». Поэтому при выполнении заданий в классе надо опираться не только на знания, но и на чувство языка, которое развивается, совершенствуется в процессе творческой работы с текстом. Без развитого чувства языка не может быть языковой личности.</w:t>
      </w:r>
    </w:p>
    <w:p w:rsidR="002C2EB1" w:rsidRPr="009E3C71" w:rsidRDefault="002C2EB1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lastRenderedPageBreak/>
        <w:t>Воспринимая произведение, читатель «впитывает» и его художественную форму, и развернутость художе</w:t>
      </w:r>
      <w:r w:rsidRPr="009E3C71">
        <w:rPr>
          <w:rFonts w:ascii="Times New Roman" w:hAnsi="Times New Roman" w:cs="Times New Roman"/>
          <w:sz w:val="24"/>
          <w:szCs w:val="24"/>
        </w:rPr>
        <w:softHyphen/>
        <w:t xml:space="preserve">ственных образов, и многое другое, что в совокупности составляет художественный текст. Вместе с тем восприятие и понимание текста органически сочетаются с его семантической компрессией и выделением смысловых опорных пунктов. При этом, поскольку выделяемые смысловые «вехи» художественного текста являются отмеченными, они получают определенную оценку со стороны читателя. Даже если такая оценка и не осознается читателем, процесс чтения художественного текста все равно представляет собой процесс пересечения смысловых полей текста и смысловых полей (прежде 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 эмоциональных) читателя.</w:t>
      </w:r>
    </w:p>
    <w:p w:rsidR="002C2EB1" w:rsidRPr="009E3C71" w:rsidRDefault="002C2EB1" w:rsidP="009E3C7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Многие исследователи полагают, что при обращении к художественной литературе читатель выступает не только как носитель знания, но и как </w:t>
      </w:r>
      <w:r w:rsidRPr="009E3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личность </w:t>
      </w:r>
      <w:r w:rsidRPr="009E3C71">
        <w:rPr>
          <w:rFonts w:ascii="Times New Roman" w:hAnsi="Times New Roman" w:cs="Times New Roman"/>
          <w:sz w:val="24"/>
          <w:szCs w:val="24"/>
        </w:rPr>
        <w:t>со своей структурой ценностей и динамических смысловых систем </w:t>
      </w:r>
    </w:p>
    <w:p w:rsidR="002C2EB1" w:rsidRPr="009E3C71" w:rsidRDefault="002C2EB1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Достаточно часто речь идет не о понимании текста, а именно о впечатлении от текста. Сам текст несет в себе определенную оценку действительности. Читатель же оценивает и описанный в тексте фрагмент действительности, и оценку, которую дает ей автор.  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 xml:space="preserve">Нередко читатель не соглашается с предлагаемой ему интерпретацией действительности и относится иначе не только к изображаемому, </w:t>
      </w:r>
      <w:r w:rsidR="009E3C71">
        <w:rPr>
          <w:rFonts w:ascii="Times New Roman" w:hAnsi="Times New Roman" w:cs="Times New Roman"/>
          <w:sz w:val="24"/>
          <w:szCs w:val="24"/>
        </w:rPr>
        <w:t xml:space="preserve"> </w:t>
      </w:r>
      <w:r w:rsidRPr="009E3C71">
        <w:rPr>
          <w:rFonts w:ascii="Times New Roman" w:hAnsi="Times New Roman" w:cs="Times New Roman"/>
          <w:sz w:val="24"/>
          <w:szCs w:val="24"/>
        </w:rPr>
        <w:t>но и к оценке автора.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 Результат восприятия текста читателями оказывается не таким, как его планировал автор.</w:t>
      </w:r>
    </w:p>
    <w:p w:rsidR="002C2EB1" w:rsidRPr="009E3C71" w:rsidRDefault="002C2EB1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 Понимание текста представляет собой «усвоение не только поверхностных значений, которые непосредственно следуют из содер</w:t>
      </w:r>
      <w:r w:rsidRPr="009E3C71">
        <w:rPr>
          <w:rFonts w:ascii="Times New Roman" w:hAnsi="Times New Roman" w:cs="Times New Roman"/>
          <w:sz w:val="24"/>
          <w:szCs w:val="24"/>
        </w:rPr>
        <w:softHyphen/>
        <w:t xml:space="preserve">жащихся в тексте слов и грамматически оформленных словосочетаний, но и усвоения внутренней, глубокой системы подтекстов и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смыслов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>оскольку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замысел текста носит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внетекстовый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характер, понимание замысла может быть одновременно и пониманием того, что в тексте непосредственно не дано. </w:t>
      </w:r>
    </w:p>
    <w:p w:rsidR="00C23091" w:rsidRPr="009E3C71" w:rsidRDefault="00206BAD" w:rsidP="009E3C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C71">
        <w:rPr>
          <w:rFonts w:ascii="Times New Roman" w:hAnsi="Times New Roman" w:cs="Times New Roman"/>
          <w:b/>
          <w:sz w:val="24"/>
          <w:szCs w:val="24"/>
        </w:rPr>
        <w:t>Обобщающими заданиями  на  основе  личностного  восприятия художественного произведения могут быть письменные творческие работы.</w:t>
      </w:r>
    </w:p>
    <w:p w:rsidR="001C4188" w:rsidRPr="009E3C71" w:rsidRDefault="001C4188" w:rsidP="009E3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Существует более сорока видов письменных работ, среди них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 реферат, изложение, анализ поэтических текстов, эпизода, другие жанры сочинений, рецензии, эссе. Ученик сможет проявить свою личность, индивидуальность, если не будет стеснен в содержании, выборе жанра изложения, характера языка, лексике своей работы. Да и процесс развития письменной речи учащегося в этом случае станет более эффективным. </w:t>
      </w:r>
    </w:p>
    <w:p w:rsidR="009E3C71" w:rsidRDefault="009E3C71" w:rsidP="009E3C71">
      <w:pPr>
        <w:rPr>
          <w:rFonts w:ascii="Times New Roman" w:hAnsi="Times New Roman" w:cs="Times New Roman"/>
          <w:sz w:val="24"/>
          <w:szCs w:val="24"/>
        </w:rPr>
      </w:pPr>
    </w:p>
    <w:p w:rsidR="000240CC" w:rsidRPr="009E3C71" w:rsidRDefault="000240CC" w:rsidP="009E3C71">
      <w:pPr>
        <w:rPr>
          <w:rFonts w:ascii="Times New Roman" w:hAnsi="Times New Roman" w:cs="Times New Roman"/>
          <w:b/>
          <w:sz w:val="24"/>
          <w:szCs w:val="24"/>
        </w:rPr>
      </w:pPr>
      <w:r w:rsidRPr="009E3C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Сочинение-рассуждение ученицы 7-а класса </w:t>
      </w:r>
      <w:proofErr w:type="spellStart"/>
      <w:r w:rsidRPr="009E3C71">
        <w:rPr>
          <w:rFonts w:ascii="Times New Roman" w:hAnsi="Times New Roman" w:cs="Times New Roman"/>
          <w:b/>
          <w:sz w:val="24"/>
          <w:szCs w:val="24"/>
        </w:rPr>
        <w:t>Джинчарадзе</w:t>
      </w:r>
      <w:proofErr w:type="spellEnd"/>
      <w:r w:rsidRPr="009E3C71">
        <w:rPr>
          <w:rFonts w:ascii="Times New Roman" w:hAnsi="Times New Roman" w:cs="Times New Roman"/>
          <w:b/>
          <w:sz w:val="24"/>
          <w:szCs w:val="24"/>
        </w:rPr>
        <w:t xml:space="preserve"> Маргариты по повести </w:t>
      </w:r>
      <w:proofErr w:type="spellStart"/>
      <w:r w:rsidRPr="009E3C71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Pr="009E3C71">
        <w:rPr>
          <w:rFonts w:ascii="Times New Roman" w:hAnsi="Times New Roman" w:cs="Times New Roman"/>
          <w:b/>
          <w:sz w:val="24"/>
          <w:szCs w:val="24"/>
        </w:rPr>
        <w:t xml:space="preserve"> «Тарас Бульба»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Тема: «Какие преобладающие черты характера подтолкнули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к предательству?»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Недавно на уроках литературы мы прочитали одно из лучших произведений о запорожском казачестве - повесть Н.В. Гоголя “Тарас Бульба”, над которой писатель работал почти десять лет. Он изобразил  героическую борьбу украинцев за свое национальное освобождение. Автор показывает судьбы героев в единстве с народным движением. 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>Трагична судьба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>, младшего сына Тараса Бульбы.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Впервые мы встречаемся с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Андрием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на родном родительском дворе. Сначала нас может привлекать образ Андрея, так как по сравнению с суровым Остапом он более чувствительный, нежный, спокойный. Даже мать сильнее жалеет и любит именно его. И вот постепенно перед нами проходит история жизни каждого из сыновей Тараса Бульбы, и наше отношение постепенно изменяется. Мы понимаем, что общие черты в братьях лишь молодость, их “свежесть, рослость, могущественная телесная красота».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 отличался в бурсе смелостью, но она всегда приводила к бедствию. В нем соединились упорство и притворное мужество: он умел выворачиваться, хитрить, даже умолять пощады.  Эти качества вызывают недоумение: неужели он на самом деле трус и боится отвечать за свои поступки? Как только юноши попадают в Запорожскую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ечь, сразу же приобретают добрую репутацию у казаков: оба ловкие, оба смелые воины. Но храбрость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оказывается безрассудной и бесцельной; он мало задумывается над тем, за что воюет. 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Душе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доступно чужое: красота чужой религии, печаль и страдание жителей вражеского города. Ему ведом не один, не единственный «пир души». Нега и упоение для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—как в битве, так и в любви. Они  позволяют ему проявить себя, в равной мере влекут.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испытывает «какое-то сладостное чувство, вызванное азартом схватки». Панночке он скажет: «Погублю, погублю! и погубить себя для тебя, клянусь святым крестом, мне так сладко».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горячо любит прекрасную полячку. Но нет в этой любви истинной поэзии. Искренняя, глубокая страсть, вспыхнувшая в душе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, вступила в трагическое противоречие с чувством долга перед своими товарищами и своей родиной. Любовь утрачивает здесь светлые, благородные черты, она перестает быть источником радости. Любовь не принесла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счастья, она отгородила его от товарищей, от отца. Он забывает святые чувства верности отчизне и обществу: “А что мне отец, товарищи, отчизна! … нет у меня никого!”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Такое не простится даже самому храброму воину, и печать проклятья легла на предателя. «Пропал, пропал бесславно, как подлая собака…» </w:t>
      </w:r>
    </w:p>
    <w:p w:rsidR="000240CC" w:rsidRPr="009E3C71" w:rsidRDefault="000240CC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Измену родине ничто не может ни искупить, ни оправдать. «Против 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 он «понесся, как молодой борзой пес, красивейший, быстрейший …в стае».                    Меня поразило то, что Тарас Бульба сам убивает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, сам объявляет ему суровый приговор, потому что обычно родители до последнего защищают и оправдывают своих детей.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нет оправдания, как нет оправдания любому предател</w:t>
      </w:r>
      <w:r w:rsidR="009E3C71">
        <w:rPr>
          <w:rFonts w:ascii="Times New Roman" w:hAnsi="Times New Roman" w:cs="Times New Roman"/>
          <w:sz w:val="24"/>
          <w:szCs w:val="24"/>
        </w:rPr>
        <w:t>ьству, но все-таки мне его жаль.</w:t>
      </w:r>
    </w:p>
    <w:p w:rsidR="00A34507" w:rsidRPr="009E3C71" w:rsidRDefault="00A34507" w:rsidP="009E3C71">
      <w:pPr>
        <w:rPr>
          <w:rFonts w:ascii="Times New Roman" w:hAnsi="Times New Roman" w:cs="Times New Roman"/>
          <w:b/>
          <w:sz w:val="24"/>
          <w:szCs w:val="24"/>
        </w:rPr>
      </w:pPr>
      <w:r w:rsidRPr="009E3C71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9E3C71" w:rsidRDefault="009E3C71" w:rsidP="009E3C71">
      <w:pPr>
        <w:rPr>
          <w:rFonts w:ascii="Times New Roman" w:hAnsi="Times New Roman" w:cs="Times New Roman"/>
          <w:sz w:val="24"/>
          <w:szCs w:val="24"/>
        </w:rPr>
      </w:pPr>
    </w:p>
    <w:p w:rsidR="00A34507" w:rsidRPr="009E3C71" w:rsidRDefault="00A34507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Васильева М.С.,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Н.Н. Актуальные проблемы методики обучения чтению в начальных классах. - М.: Педагогика, 1977.</w:t>
      </w:r>
    </w:p>
    <w:p w:rsidR="00A34507" w:rsidRPr="009E3C71" w:rsidRDefault="00A34507" w:rsidP="009E3C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Воюшина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>. М.П. Методические основы литературного развития младших школьников // Методические основы языкового образования и литературного развития младших школьников: Пособие для студентов факультетов начального обучения и учителей начальных классов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Т.Г.Рамзаевой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9E3C7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E3C71">
        <w:rPr>
          <w:rFonts w:ascii="Times New Roman" w:hAnsi="Times New Roman" w:cs="Times New Roman"/>
          <w:sz w:val="24"/>
          <w:szCs w:val="24"/>
        </w:rPr>
        <w:t>Специальная Литература, 1998.</w:t>
      </w:r>
    </w:p>
    <w:p w:rsidR="00A34507" w:rsidRDefault="00A34507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Психологический образ очерк. - 2-е изд. - М., 1967.</w:t>
      </w:r>
    </w:p>
    <w:p w:rsidR="009E3C71" w:rsidRPr="009E3C71" w:rsidRDefault="009E3C71" w:rsidP="009E3C7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Граблина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Н.В.</w:t>
      </w:r>
      <w:r w:rsidRPr="009E3C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3C71">
        <w:rPr>
          <w:rFonts w:ascii="Times New Roman" w:hAnsi="Times New Roman" w:cs="Times New Roman"/>
          <w:sz w:val="20"/>
          <w:szCs w:val="20"/>
        </w:rPr>
        <w:t>ЛЕКЦИЯ № 1</w:t>
      </w:r>
    </w:p>
    <w:p w:rsidR="00A34507" w:rsidRPr="009E3C71" w:rsidRDefault="00A34507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 xml:space="preserve">Кудина Г.Н., </w:t>
      </w:r>
      <w:proofErr w:type="spellStart"/>
      <w:r w:rsidRPr="009E3C71">
        <w:rPr>
          <w:rFonts w:ascii="Times New Roman" w:hAnsi="Times New Roman" w:cs="Times New Roman"/>
          <w:sz w:val="24"/>
          <w:szCs w:val="24"/>
        </w:rPr>
        <w:t>Новлянская</w:t>
      </w:r>
      <w:proofErr w:type="spellEnd"/>
      <w:r w:rsidRPr="009E3C71">
        <w:rPr>
          <w:rFonts w:ascii="Times New Roman" w:hAnsi="Times New Roman" w:cs="Times New Roman"/>
          <w:sz w:val="24"/>
          <w:szCs w:val="24"/>
        </w:rPr>
        <w:t xml:space="preserve"> З.Н., Мелик-Пашаев А.А. Как развивать художественное восприятие у школьников. - М.: Просвещение, 1988.</w:t>
      </w:r>
    </w:p>
    <w:p w:rsidR="00A34507" w:rsidRPr="009E3C71" w:rsidRDefault="00A34507" w:rsidP="009E3C71">
      <w:pPr>
        <w:rPr>
          <w:rFonts w:ascii="Times New Roman" w:hAnsi="Times New Roman" w:cs="Times New Roman"/>
          <w:sz w:val="24"/>
          <w:szCs w:val="24"/>
        </w:rPr>
      </w:pPr>
      <w:r w:rsidRPr="009E3C71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A34507" w:rsidRPr="009E3C71" w:rsidRDefault="00A34507" w:rsidP="009E3C71">
      <w:pPr>
        <w:rPr>
          <w:rFonts w:ascii="Times New Roman" w:hAnsi="Times New Roman" w:cs="Times New Roman"/>
          <w:sz w:val="24"/>
          <w:szCs w:val="24"/>
        </w:rPr>
      </w:pPr>
    </w:p>
    <w:sectPr w:rsidR="00A34507" w:rsidRPr="009E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82A"/>
    <w:multiLevelType w:val="hybridMultilevel"/>
    <w:tmpl w:val="7868AADE"/>
    <w:lvl w:ilvl="0" w:tplc="79E4A042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B11650D6" w:tentative="1">
      <w:start w:val="1"/>
      <w:numFmt w:val="bullet"/>
      <w:lvlText w:val="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86747320" w:tentative="1">
      <w:start w:val="1"/>
      <w:numFmt w:val="bullet"/>
      <w:lvlText w:val="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1A70884E" w:tentative="1">
      <w:start w:val="1"/>
      <w:numFmt w:val="bullet"/>
      <w:lvlText w:val="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B9BE36D4" w:tentative="1">
      <w:start w:val="1"/>
      <w:numFmt w:val="bullet"/>
      <w:lvlText w:val="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BC2698A8" w:tentative="1">
      <w:start w:val="1"/>
      <w:numFmt w:val="bullet"/>
      <w:lvlText w:val="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E692F9EC" w:tentative="1">
      <w:start w:val="1"/>
      <w:numFmt w:val="bullet"/>
      <w:lvlText w:val="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6854FB4A" w:tentative="1">
      <w:start w:val="1"/>
      <w:numFmt w:val="bullet"/>
      <w:lvlText w:val="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128E16AA" w:tentative="1">
      <w:start w:val="1"/>
      <w:numFmt w:val="bullet"/>
      <w:lvlText w:val="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1">
    <w:nsid w:val="67ED45F6"/>
    <w:multiLevelType w:val="hybridMultilevel"/>
    <w:tmpl w:val="441A2132"/>
    <w:lvl w:ilvl="0" w:tplc="C6542E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12C0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32C4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78B6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0CF8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FE0B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C276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422E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328C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88"/>
    <w:rsid w:val="000240CC"/>
    <w:rsid w:val="001C4188"/>
    <w:rsid w:val="00206BAD"/>
    <w:rsid w:val="002C2EB1"/>
    <w:rsid w:val="0052473A"/>
    <w:rsid w:val="00931DFE"/>
    <w:rsid w:val="009E3C71"/>
    <w:rsid w:val="00A34507"/>
    <w:rsid w:val="00BC1817"/>
    <w:rsid w:val="00C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0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0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2015-02-10T07:19:00Z</dcterms:created>
  <dcterms:modified xsi:type="dcterms:W3CDTF">2015-02-22T12:07:00Z</dcterms:modified>
</cp:coreProperties>
</file>