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V </w:t>
      </w: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Научно-исследовательская конференция учащихся школы №55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«Апрельские чтения»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Секция: литература 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Иллюстрации </w:t>
      </w:r>
      <w:r w:rsidR="0068683F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к поэме </w:t>
      </w:r>
      <w:proofErr w:type="spellStart"/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Н.В.Гоголя</w:t>
      </w:r>
      <w:proofErr w:type="spellEnd"/>
    </w:p>
    <w:p w:rsidR="00D531E0" w:rsidRPr="00D531E0" w:rsidRDefault="00D531E0" w:rsidP="0068683F">
      <w:pPr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531E0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«М</w:t>
      </w: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ертвые души</w:t>
      </w:r>
      <w:r w:rsidRPr="00D531E0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».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Ольга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класс </w:t>
      </w: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Руководитель: </w:t>
      </w:r>
    </w:p>
    <w:p w:rsidR="00D531E0" w:rsidRPr="00D531E0" w:rsidRDefault="00D531E0" w:rsidP="00D531E0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</w:p>
    <w:p w:rsidR="00D531E0" w:rsidRPr="00D531E0" w:rsidRDefault="00D531E0" w:rsidP="00D531E0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Захарова Елена Владимировна</w:t>
      </w: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531E0" w:rsidRPr="00D531E0" w:rsidRDefault="00D531E0" w:rsidP="00D531E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31E0" w:rsidRPr="00D531E0" w:rsidRDefault="00D531E0" w:rsidP="00D531E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Казань 2014 </w:t>
      </w:r>
    </w:p>
    <w:p w:rsidR="00104410" w:rsidRDefault="00104410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Содержание</w:t>
      </w:r>
    </w:p>
    <w:p w:rsidR="0068683F" w:rsidRDefault="0068683F" w:rsidP="0068683F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Вступление.</w:t>
      </w:r>
    </w:p>
    <w:p w:rsidR="0068683F" w:rsidRPr="0068683F" w:rsidRDefault="0068683F" w:rsidP="0068683F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Иллюстраторы творчества Н.В. Гоголя.</w:t>
      </w:r>
    </w:p>
    <w:p w:rsidR="00104410" w:rsidRDefault="0068683F" w:rsidP="00104410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Глава 2. </w:t>
      </w:r>
      <w:r w:rsidR="001044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Отношение </w:t>
      </w:r>
      <w:proofErr w:type="spellStart"/>
      <w:r w:rsidR="001044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Н.В.Гоголя</w:t>
      </w:r>
      <w:proofErr w:type="spellEnd"/>
      <w:r w:rsidR="001044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иллюстрированию его творчества</w:t>
      </w:r>
    </w:p>
    <w:p w:rsidR="00104410" w:rsidRDefault="0068683F" w:rsidP="00104410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Заключение.</w:t>
      </w:r>
    </w:p>
    <w:p w:rsidR="001D5A80" w:rsidRPr="00104410" w:rsidRDefault="001D5A80" w:rsidP="00104410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Список литературы.</w:t>
      </w:r>
    </w:p>
    <w:p w:rsidR="00104410" w:rsidRDefault="00104410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 w:type="page"/>
      </w:r>
    </w:p>
    <w:p w:rsidR="0068683F" w:rsidRPr="0068683F" w:rsidRDefault="0068683F" w:rsidP="0068683F">
      <w:pPr>
        <w:pStyle w:val="a8"/>
        <w:shd w:val="clear" w:color="auto" w:fill="FFFFFF"/>
        <w:spacing w:after="0" w:line="300" w:lineRule="atLeast"/>
        <w:ind w:left="92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Глава 1. Иллюстраторы творчества Н.В. Гоголя.</w:t>
      </w:r>
    </w:p>
    <w:p w:rsidR="00B50957" w:rsidRPr="00C97847" w:rsidRDefault="00B50957" w:rsidP="0068683F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От </w:t>
      </w:r>
      <w:proofErr w:type="spellStart"/>
      <w:r w:rsidRPr="00C97847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А.Агина</w:t>
      </w:r>
      <w:proofErr w:type="spellEnd"/>
      <w:r w:rsidRPr="00C97847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 до </w:t>
      </w:r>
      <w:proofErr w:type="spellStart"/>
      <w:r w:rsidRPr="00C97847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М.Шагала</w:t>
      </w:r>
      <w:proofErr w:type="spellEnd"/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B50957" w:rsidRPr="00C97847" w:rsidRDefault="007072BA" w:rsidP="007072B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Гоголь, едва ли не самый иллюстрируемый впоследствии русский писатель, объявлял себя противником иллюстрации.</w:t>
      </w:r>
      <w:r w:rsidRP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Поэтому, в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1846 году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он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написал из Рима Петру Плетневу, который вел его дела в Петербурге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 что: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«Я враг всяких политипажей и модных выдумок. Товар должен подаваться лицом и нечего его подслащивать этим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кондитерством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Так, отказываясь от предложения </w:t>
      </w:r>
      <w:hyperlink r:id="rId6" w:tgtFrame="_blank" w:history="1">
        <w:r w:rsidRPr="007072BA">
          <w:rPr>
            <w:rFonts w:ascii="Times New Roman" w:eastAsia="Times New Roman" w:hAnsi="Times New Roman" w:cs="Times New Roman"/>
            <w:color w:val="0D0D0D" w:themeColor="text1" w:themeTint="F2"/>
            <w:lang w:eastAsia="ru-RU"/>
          </w:rPr>
          <w:t>гравера</w:t>
        </w:r>
      </w:hyperlink>
      <w:r w:rsidRP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Е.Е.Бернардского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издать «Мертвые души» с иллюстрац</w:t>
      </w:r>
      <w:r w:rsid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иями. Упомянутый им «политипаж»</w:t>
      </w:r>
      <w:r w:rsidR="007072BA" w:rsidRP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-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это отливка с гравированной деревянной доски, позволявшая в свое время очень широко распространять книжную графику. В сороковые годы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XIX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века так стали </w:t>
      </w:r>
      <w:r w:rsidR="007072BA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называть</w:t>
      </w:r>
      <w:r w:rsid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7072BA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напечатанные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 книге рисунки.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Подобное отрицание ее уместности в роли верного и законного спутника литературы родилось, впрочем, задолго до Гоголя, а после него прошло через весь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XIX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век и получило развернутое теоретическое обоснование в начале ХХ столетия. При этом главный оппонент иллюстрирования </w:t>
      </w:r>
      <w:hyperlink r:id="rId7" w:tgtFrame="_blank" w:history="1">
        <w:r w:rsidRPr="00C97847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художественной литературы</w:t>
        </w:r>
      </w:hyperlink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Ю.Н.Тынянов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именн</w:t>
      </w:r>
      <w:r w:rsidR="007072B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о Гоголем подкреплял свой тезис: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«Самый конкретный — до иллюзий — писатель, Гоголь, менее всего поддается переводу на живопись. “Гоголевские типы”, воплощенные и навязываемые при чтении (русскому читателю — с детства), — пошлость, ибо вся сила этих героев в том, что динамика слов не обведена у Гоголя плотной массой». «А ведь нам с детства навязываются рисованные “типы Гоголя” и — сколько они затемнили и исказили в типах Гоголя». И потому, пишет Тынянов, «половина русских читателей знает не Гоголя, а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Боклевского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или в лучшем случае Агина».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Смысл его критики, подкрепленной тонким анализом, в стремлении освободить и защитить богатую и сложную выразительность словесного образа, не сводимого, по его убеждению, к изображению, от его подмены однозначно-предметной картинкой.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К нему не прислушались. Напротив, настоящий расцвет иллюстрирования тогда еще только начинался. И именно сочинения Гоголя избирались для того особенно охотно. Современный читатель, он же и зритель, встречается с невероятным многообразием их графических интерпретаций. За пресловутыми Агиным и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Боклевским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выстроился немалый ряд талантливых и умных иллюстраторов, не говоря уж о прочих, а их хватало и прежде.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Но как бы ни были убедительны сами по себе аргументы Тынянова, доказывающие непереводимость литературного образа в визуальный, все же многие опыты иллюстрирования Гоголя остаются значительными. И не только сами по себе (чего не отвергал и Тынянов), но и в их отношении к литературному прототипу. </w:t>
      </w:r>
      <w:r w:rsidR="00415C03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Иллюстрации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очень живо представляют нам характер и смысл непреходящего, но порой круто меняющего свой характер, интереса к Гоголю и открывают нам, каким его видели, что находили для себя в его книгах протекшие поколения, эпохи и стили.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Вопреки протестам критики, да и самого автора, искусство иллюстрации трудно признать ошибкой. Оно сопровождало словесность на всем ее многотысячелетнем пути, от древних папирусов до современной книги. </w:t>
      </w:r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значит, удовлетворяет одну из коренных потребностей культуры вообще — стремление к многостороннему, синтетическому представлению образов реальности.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Гоголь не был таким уж строгим врагом всякого иллюстрирования. Оправдывая свой отказ, он, в том же письме Плетневу, говорит о возможности «допустить излишество этих родов только в таком случае, когда оно слишком художественно. Но художников-гениев для такого дела не найдешь»</w:t>
      </w:r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А годом позже просил предложить тому же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Бернардскому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издать «Ревизора» с виньетками в начале и конце каждого действия. К тому времени он мог уже быть знаком с работой Агина. 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 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 xml:space="preserve">Обложку для первого издания «Мертвых душ» (1842) Гоголь нарисовал сам. Эскиз его перерисовали на камень —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литографировли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— и отпечатали необходимым тиражом. Она хорошо известна, много раз воспроизводилась в изданиях, посвященных Гоголю, однако в тексте их, как правило, даж</w:t>
      </w:r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е не упоминается.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Между тем, внешность, которую сам Николай Васильевич проектировал для своего наиболее капитального творения, может многое рассказать и о художественных вкусах автора, и о его понимании самой поэмы. </w:t>
      </w:r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еред нами не просто «обертка книги», которую принято было заменять переплетом, но и произведение Гоголя (пусть даже не вполне профессиональное), и, кроме того, немаловажный творческий документ писателя.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Литография — сравнительно молодая техника печати. Она была изобретена в самом конце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XVIII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 века, а в России первые оттиски с плоской каменной формы делались в середине 1810-х годов. В 30-е годы ее уже использовали в иллюстрациях и обложках. </w:t>
      </w:r>
      <w:proofErr w:type="gramStart"/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!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</w:t>
      </w:r>
      <w:proofErr w:type="gram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ридирчивых любителей изящных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классицистских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изданий с гравюрами на меди это возмущало, они считали, что литография «портит» книги.</w:t>
      </w:r>
      <w:r w:rsidR="002C015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!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Но Гоголя, как мы видим, это не смутило. Он был человеком иного поколения, предпочитавшего более экспрессивную и свободную стилистику романтизма.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 характерном живописно-романтическом духе он выполнил и свою обложку. Строки заглавия, написанные, по моде того времени, шрифтами разного рисунка, Гоголь окружил и объединил подвижным, сложным орнаментом, не имеющим жестких границ, свободными, </w:t>
      </w:r>
      <w:r w:rsidR="00B73799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мелкими завитками,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растекающимся по листу. А в завитки вписаны и торжественные барочные маскароны (в центре, по сторонам слова «поэма»), и множество мелких рисуночков совсем иного характера, имеющих отношение к бытовой среде книги, возможно, и к конкретным ее эпизодам.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Венчает композицию во весь опор мчащаяся тройка. Выезд Чичикова? Или это символическая «бойкая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необгонимая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тройка», знаменующая собой несущуюся в неизвестность Русь? Этим образом, не без пафоса, завершал Гоголь первый том своего сочинения.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 ниже, среди кружащихся завитков, чего только нет! Какие-то строения, колодец с «журавлем», и стройная колокольня. Бутылки и бокалы на подносах, рыбина на блюде (не тот ли осетр, которого в одиночку съел Собакевич?). Гротескный человечек справа, а слева бочонок и лапоть. И лира — недалеко от слова «поэма», и бальная пара танцующих, и, наконец, многочисленные черепа, — материализованные «мертвые души», стержень действия.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Нельзя сказать, что Гоголь обобщил и воплотил в этой композиции основной смысл книги. Скорее всего, он себе столь серьезную задачу и не ставил. Но некоторые ее черты сумел передать, не столько даже в подборе мотивов рисунка, сколько в самом его построении. Открываемое подобной обложкой сочинение претендует, очевидно, на сложное действие, на широкий охват многообразных событий. Оно обещает занимательность и некоторую пестроту эпизодов, связываемых цепью общей интриги. Обещает и внимание к бытовым подробностям, что было тогда в духе времени.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Между тем, главная строка на обложке, важнейшее, отчетливо выделенное на ней слово, это не заглавие, оно помельче, и не имя автора, выписанное совсем меленько, витиеватым, как бы «готическим» почерком. Вопреки традициям, это своеобразное (и, пожалуй, несколько претенциозное) обозначение жанра книги. Слово «ПОЭМА», помещенное точно в центре композиции и самое крупное на ней, выделено также цветом (белое на черном фоне) и обведено наиболее богатой рельефной рамкой. Очевидно, оно было особенно важно для Гоголя и должно было подсказать читателю угол зрения на книгу. В ней самым главным должен был оказаться не быт, не юмор, не социальная или моральная критика. Это слово должно было, по-видимому, подчеркнуть в «Мертвых душах» их эпичность. Не многим из последующих иллюстраторов это оказалось понятным и посильным.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Иллюстрации к «Мертвым душам», от которых в 1846 году отказался Гоголь, были сделаны Александром Алексеевичем Агиным и гравировались для печати на дереве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Евстафием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Бернардским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 Торцовая ксилография была в то время сравнительно новой техникой репродуцирования, относительно недорогой, точной и позволявшей печатать картинки в один прогон с текстом, на тех же страницах. В России она распространилась как раз в сороковые годы, и широко применялась, в частности, для иллюстрирования модных тогда «физиологических очерков». Так назывались подробные, пристальные, и обычно более или менее иронические, описания нравов и характеров представителей разных сословий и профессий.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Литература менялась, насыщаясь впечатлениями повседневной бытовой реальности, и вслед за ней к подобным же наблюдениям обратилась книжная графика. Идеализированные образы классицизма вытеснялись выхватываемыми прямо из жизни неприкрашенными социальными типами. Воспитанник Академии художеств, Агин, начавший свой путь традиционно-театральным, хотя и не лишенным пристрастия к условно-историческим подробностям обстановки, «Ветхим заветом в картинах» (их по-старому гравировал очерком на меди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К.Афанасьев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 оттачивал затем мастерство бытописателя именно в сборниках физиологических очерков.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 этом фоне возникали и его иллюстрации к Гоголю. «Мертвые души» позволяли ему развернуть целую галерею колоритных характеров. Внимательный и умный читатель, Агин нашел для основных персонажей книги отчетливые зримые образы, которые воплотил не только в лицах, но и в особом складе каждой фигуры, в индивидуальной пластике движений и жестов. Кубический, деревянный, как комод, Собакевич, размашистый, бесшабашный Ноздрев, но главное — хорошо угаданный главный герой, пружина всего действия, являющийся в большинстве иллюстраций, определили удачу.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Строит образ не столько благообразно-округлое лицо Чичикова, сколько его скользящие движения, плавные полупоклоны, являющие совершенную светскость, однако с той ноткой развязности, которая и позволяет ощутить его настоящий характер.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Иллюстрации Агина не статичны. Сквозь них протекает динамика сюжета. Иные важные эпизоды разыграны в целых цепочках рисунков. В них Чичиков торгуется с Собакевичем, беседует с Плюшкиным, спорит с Ноздревым.</w:t>
      </w:r>
      <w:r w:rsidR="005B06DD" w:rsidRPr="005B06D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Кажется, что и художник представлял в себе героев Гоголя выведенными на театральную сцену. (</w:t>
      </w:r>
      <w:r w:rsidR="005B06D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тому времени уже предпринималась «неудачная попытка поставить Чичикова на Александринском театре».)</w:t>
      </w:r>
    </w:p>
    <w:p w:rsidR="00B50957" w:rsidRDefault="005B06DD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 письме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Плетнева к Гоголю, первоначально, кроме больших иллюстраций, Агин предполагал выполнить еще сотню виньеток в тексте. О них, однако, ничего более неизвестно.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Петр Михайлович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Боклевский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был годом старше Агина, но его «Гоголевские типы» относятся уже к следующему этапу развития русской иллюстрации. Он тоже прикоснулся к академической школе, занимаясь «сторонним посетителем» у К. Брюллова и А. Егорова. Был острым карикатуристом, и этот талант определил тон его иллюстраций. Издавались они отдельными альбомами, вне текста, и были, видимо, во второй половине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XIX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 века очень популярны, так как выходили всё новыми изданиями. При этом тональная графика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Боклевского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 зализанная и подчеркнуто детализированная, при переводе в торцовую ксилографию или литографию сильно огрублялась, пока не появилось, уже в 1890-е годы, роскошное издание с фототипиями.</w:t>
      </w:r>
    </w:p>
    <w:p w:rsidR="00B5095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Свой путь иллюстратора художник начал именно с Гоголя. В 1858 году вышла его «Галерея гоголевских типов. Выпуск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I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Ревизор», в 1863-м — «Бюрократический катехизис», также с гоголевскими сюжетами. Несколько раз художник изображал героев «Мертвых душ». Иные из них могут показаться карикатурами на персонажей Агина. Отчасти на них похожие, они получили у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Боклевского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резко негативную окраску. Художника интересовало в Гоголе одно лишь сатирическое начало. Выделяя его, он последовательно упрощал и выпрямлял гораздо тоньше обрисованные автором характеры. Так, в Чичикове подчеркнута холодная хищность. Пристальный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взгляд чуть раскосых, сдвинутых к заостренному носу-клюву глаз придают ему выражение ястреба, высматривающего жертву.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Вторая половина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XIX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столетия, века русской классической литературы, отнюдь не была золотым веком иллюстрации. Тогда много иллюстрировали, в том числе и Гоголя, но чаще третьестепенные художники, не предлагавшие сколько-нибудь интересных интерпретаций его прозы. Впрочем, и эпизодические обращения к гоголевским сюжетам значительных русских живописцев, от В. Перова (большой рисунок «Погребение Гоголя героями его произведений», 1864) до И. Репина, значительных результатов не давали.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Тарас Шевченко, нарисовавший в 1842 году начальный эпизод «Тараса Бульбы» — встречу старого Бульбы с сыновьями</w:t>
      </w:r>
      <w:r w:rsidR="002A4A9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Интереснее другая работа Соколова — карандашные рисунки в рукописной копии «Старосветских помещиков» (1853), привлекающие к себе любовным вживанием художника в повседневную жизнь мелкопоместных гоголевских персонажей. Не столько даже их портреты, сколько проходные детали, вроде натюрморта со стулом у открытого окна или концовки с кисетом и курительной трубкой делают этот тихий быт осязаемым.</w:t>
      </w:r>
    </w:p>
    <w:p w:rsidR="00B50957" w:rsidRPr="00C97847" w:rsidRDefault="00CF193E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(7) 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Еще один значительный опыт иллюстрирования «Мертвых душ» предпринял в начале 1890-х годов Петр Соколов, до этого успешный иллюстратор Тургенева и Некрасова. Он был сыном знаменитого мастера акварельных портретов и старшим братом уже названного Павла Соколова. Художнику было уже за семьдесят. Младший современник писателя, он был едва ли не последним, кто мог изображать гоголевскую Россию по собственной живой памяти.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Большие листы Петра Соколова исполнены, в окончательном виде, черной акварелью (им предшествовал менее удачный цветной вариант). В то время уже существовала техника, способная без существенных потерь передавать в печати такие тональные рисунки. Но эта работа издана не была и как-то забылась. </w:t>
      </w:r>
      <w:r w:rsidR="00CF193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спомнили о ней</w:t>
      </w:r>
      <w:r w:rsidR="00CF193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лишь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 конце 1940-х годов, когда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соколовские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принципы иллюстрирования оказались вновь актуальными.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Художника интересовали не столько гоголевские «типы», сколько целостная атмосфера книги, жизненная среда персонажей. От их подчеркнутой характерности, типичной для работ ранних иллюстраторов, он отказался — люди как люди. Зато очень наглядно представлен, например, дом Плюшкина, извне, с его забитыми окнами и разоренным двором, на который въезжает бричка Чичикова, и изнутри, затесненный и замусоренный, живописно обветшавший, подобно халату хозяина. Соколов вынес на поля этого большого рисунка фигурки второстепенных персонажей, участвующих в эпизоде, а поверху еще и вид разоренной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плюшкинской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деревни. Подобные маргиналии, не вторгаясь в течение главного действия, дополняют и корректируют его. Сюжет развернут как бытовой, перетекающий из пейзажа в интерьер, от встречи к встрече, от разговора к разговору, и несколько замедленный, по сравнению со сгущенным действием в тексте.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Декларируя новое отношение к иллюстрациям, Сергей Дягилев в 1899 году писал: «Принимая объективность иллюстратора за главную цель его деятельности, мы суживаем ему рамки и приводим задачу его к невозможным затруднениям. Требовать, чтобы иллюстрация выражала душу поэта, сокровенные его мысли, это значит требовать дополнений к творчеству поэта, как будто его надо дополнять и как будто в этом интерес. </w:t>
      </w:r>
      <w:proofErr w:type="gram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Единственный смысл всякой иллюстрации заключается как раз в ее полной </w:t>
      </w:r>
      <w:r w:rsidRPr="00C9784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субъективности,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 выражении художником его собственного взгляда на данную поэму, повесть, роман. </w:t>
      </w:r>
      <w:r w:rsidR="006A689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(10)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Иллюстрация вовсе не должна ни дополнять литературного произведения, ни сливаться с ним, а наоборот, ее задача — освещать творчество поэта </w:t>
      </w:r>
      <w:r w:rsidR="00CF193E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остро</w:t>
      </w:r>
      <w:r w:rsidR="00CF193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</w:t>
      </w:r>
      <w:r w:rsidR="00CF193E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индивидуальным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 исключительным взглядом </w:t>
      </w:r>
      <w:r w:rsidRPr="00C9784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художника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и чем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неожиданнее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этот взгляд, чем он ярче выражает личность художника, тем важнее его</w:t>
      </w:r>
      <w:proofErr w:type="gram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значение. Словом, если бы сам автор увидел иллюстрации к своей поэме, то вовсе не было бы ценно его восклицание: “Да, </w:t>
      </w:r>
      <w:r w:rsidRPr="00C9784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я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именно так это понимал!”, но крайне важно: “Вот как </w:t>
      </w:r>
      <w:r w:rsidRPr="00C97847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вы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это понимаете!”»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Дягилев говорил это по поводу иллюстрирования Пушкина, однако он проницательно и точно сфор</w:t>
      </w:r>
      <w:r w:rsidR="006A689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улировал еще только возникавшую тенденцию, которой предстояло определять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направление развития русской книжной графики в ХХ веке вообще. Все больше она будет выступать не как мнимый «перевод» текста в какую-то наглядную форму, но как его образная интерпретация, подобная режиссерскому замыслу спектакля.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Упадок и вырождение прежних способов иллюстрирования отчетливо демонстрирует претенциозное издание «Мертвых душ», предпринятое А. Ф. Марксом в 1900 году, «с рисунками всех присяжных художников “Нивы”», по выражению А. А. Сидорова. Естественно, что какой-то цельности, хотя бы лишь зрительного образа книги, такой винегрет из нескольких сотен разнородных рисунков дать не мог. Между тем, «стиль всей огромной серии, — как писал тот же автор, — тот умеренный реализм, который, подобно всякому компромиссному полу</w:t>
      </w:r>
      <w:r w:rsidR="006A689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искусству, следа в истории не оставляет». И вот — все издание остается «типичнейшим для всей эпохи провалом».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Новая образность проступала в нескольких сериях девятисотых годов, посвященных «Петербургским повестям». Сергей Коровин в 1901 году иллюстрировал «Шинель» свободными, нервными рисунками углем. Художник стремился материализовать в них напряженно-тревожную атмосферу гоголевской прозы. Вибрирующий, рыхлый угольный штрих растворяет в себе неказистые подробности нищенского быта мелкого департаментского чиновника, размывает лица и очертания фигур, предметов, сгущая вокруг бедного Акакия Акакиевича изначально враждебную ему среду. Объективнее и богаче подробностями рисунки к той же «Шинели» Бориса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Кустодиева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(1905). Выполнены они также углем, но проработаны до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суховатости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тщательно. Между тем и в них ощутимо стремление передать не перипетии сюжета, но сквозящее в них общее настроение повести.</w:t>
      </w:r>
    </w:p>
    <w:p w:rsidR="009B45EA" w:rsidRDefault="009B45EA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 рубеже 1910-х и 1920-х годов, в переломившееся, бурное время революций и Гражданской войны, всеобщего преобразования общества и драматического переустройства жизни, особенное внимание иллюстраторов привлекала абсурдистская фантастика Гоголя, повесть «Нос». Рассказ о нарушении привычного порядка вещей, о том, чего и быть, разумеется, никогда и никак не может, но вдруг все же случается!</w:t>
      </w:r>
    </w:p>
    <w:p w:rsidR="009B45EA" w:rsidRDefault="009B45EA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Значительнее оказались рисунки, тоже силуэтные, Алексея Рыбникова (впоследствии известного реставратора живописи) в изящной книжечке 1921 года. Гротескные,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по-марионеточному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подвижно-забавные фигурки то плавают в просторах чистой бумаги, а то сливаются в нерасчленимые массы уличной толпы. Прыгающие ритмы, косые купола, гуляющие сами по себе буквы вывесок (здесь все против правил хорошего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мирискуснического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тона!) создают ощущение сдвинутого, лишенного привычной логики мира. На фронтисписе усмешливый, длинноносый Гоголь что-то пишет, сам столь же гротескный, как его персонажи. Здесь есть заявка на какую-то совсем новую графику и на иллюстрацию, обращенную не столько к сюжету, сколько к стилю и глубинному смыслу текста.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Воплотить романтизм в графике могла ксилография. Творческая (а не репродукционная, какой она была в 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XIX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веке) гравюра на дереве торжествовала тогда в русской книге свое возрождение. Она принесла с собой контрастный и резкий графический язык, четкость и остроту колючего, ломкого штриха, лаконизм и обобщенность пластической формы, вполне изобразительной, однако же, далеко не натуральной. И как никто другой, Кравченко умел выстроить внутри миниатюрного часто оттиска сжатое, драматическое пространство, наполненное глубокой темнотой и вспыхивающим среди мрака светом. Умел сделать эту трудоемкую, медленную технику такой экспрессивной и придать такие нервные жесты гротескным, угловатым фигуркам.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Это был какой-то совсем иной Гоголь, не тот, каким его знали в минувшем веке иллюстраторы даже самых буйных его фантазий.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 xml:space="preserve">Другой подход к стилю и духу Гоголя искал Владимир Фаворский, исполнивший в 1930 — 1931 годах три гравюры к ранней его повести «Иван Федорович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Шпонька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 его тетушка». Минуя иронические зарисовки мелкопоместного быта, он хотел передать своеобразную метафизику гоголевского ощущения жизни. Ее он чувствовал в тупиковой сцене безнадежной попытки застенчивого Ивана Федоровича объясниться с блондинкой. Единственный предмет их разговора — мухи, которых «</w:t>
      </w:r>
      <w:hyperlink r:id="rId8" w:tgtFrame="_blank" w:history="1">
        <w:r w:rsidRPr="00C97847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летом</w:t>
        </w:r>
      </w:hyperlink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 очень много», материализован в гравюре и вынесен крупно и четко на передний план. В заставке же представлен кошмарный сон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Шпоньки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окружаемого </w:t>
      </w:r>
      <w:proofErr w:type="spellStart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гусиноголовыми</w:t>
      </w:r>
      <w:proofErr w:type="spellEnd"/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женами и другими несообразностями.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«“Гоголь был кубистом” — говорил Фаворский —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Как, Владимир Андреевич?!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“Дайте мне семь аршин жены — это что?”»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vertAlign w:val="superscript"/>
          <w:lang w:eastAsia="ru-RU"/>
        </w:rPr>
        <w:t>14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 Жена, как материя, из которой шьют сюртуки, — мотив из того же сна.</w:t>
      </w:r>
    </w:p>
    <w:p w:rsidR="00B50957" w:rsidRPr="00C97847" w:rsidRDefault="00E02235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Экспрессивный и контрастный язык новейшей ксилографии выделил ее в двадцатые годы среди других графических техник в особый, можно сказать, книжный жанр, обособляющий предмет изображения от бытовой реальности, придавая ему возвышенность и 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отстраненность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Характерно, что Гоголя предпочитали тогда иллюстрировать именно так (в частности, ученики Фаворского: М. Пиков, М. Поляков, Э.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Визин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).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 1923 –1926 годах в Париже огромную серию иллюстраций к «Мертвым душам» исполнил в офорте Марк Шагал. Тираж ее был отпечатан в 1927 году, но книга, в которую эти оттиски должны были войти, так и не была издана в довоенные годы. Один комплект Шагал тогда же подарил Третьяковской галерее «со всей моей любовью русского художника к своей Родине», как написал он на полях одной из гравюр. Однако в отечественную культуру работа художника-эмигранта вошла лишь много позднее — и по политическим причинам, но также и потому, что не могла вписаться в нее тогда по своей идее и стилю.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Художник позволял себе быть непринужденно свободным от каких-либо норм «правильного» рисунка и ученой перспективы. Его соблазняла буйная экспрессия примитива, и он отвергал школьные правила композиции, утверждая взамен исконную беспорядочность русской жизни. Он не стремился ввести зрителя в эпоху Гоголя — архитектура и утварь, костюмы и прически персонажей </w:t>
      </w:r>
      <w:proofErr w:type="gramStart"/>
      <w:r w:rsidR="00F969D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вне</w:t>
      </w:r>
      <w:proofErr w:type="gramEnd"/>
      <w:r w:rsidR="00F969D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временны</w:t>
      </w: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и порой фантастичны. Наконец, он не очень заботился и о зримом облике героев, о цельности их портретных характеристик. Даже Чичиков, переходя из одного листа в другой, будто меняет свои гротескные маски.</w:t>
      </w:r>
    </w:p>
    <w:p w:rsidR="00B50957" w:rsidRPr="00C97847" w:rsidRDefault="00B50957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Гоголевская Россия, понятая обобщенно и расширительно, вне явно выраженных признаков времени и пространства, — так, кажется, можно определить смысл всего цикла… Но гоголевская ли?</w:t>
      </w:r>
    </w:p>
    <w:p w:rsidR="00B50957" w:rsidRPr="00C97847" w:rsidRDefault="009B45EA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И после середины 30-х годов художники активно обращались к произведениям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Н.В.Гоголя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. За пределами нашего обзора остались работы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Кукрыниксов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к «Мертвым душам», «Портрету», «Шинели», повествовательные и иногда эклектичные циклы иллюстраций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А.Каневского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Е.Хигера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,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А.Лаптева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; энергичные монументальные, волевые работы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Е.Кибрика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к «Тарасу Бульбе», изящные рисунки </w:t>
      </w:r>
      <w:proofErr w:type="spellStart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Н.Кузьмина</w:t>
      </w:r>
      <w:proofErr w:type="spellEnd"/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к «Запискам сумасшедшего» и работы других мастеров все более приближающихся к нашим дням. Иллюстраторы 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XXI</w:t>
      </w:r>
      <w:r w:rsidR="00B50957"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века не предложили нам пока своего, заново прочитанного Гоголя. Я думаю, что он на подходе. Ведь Гоголь неисчерпаем, и всякое время видит его своим и новым. И в этом смысл тоже вечного искусства иллюстрации.</w:t>
      </w:r>
    </w:p>
    <w:p w:rsidR="0068683F" w:rsidRDefault="0068683F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68683F" w:rsidRDefault="0068683F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68683F" w:rsidRDefault="0068683F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9B45EA" w:rsidRDefault="009B45EA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9B45EA" w:rsidRDefault="009B45EA" w:rsidP="00B5095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0" w:name="_GoBack"/>
      <w:bookmarkEnd w:id="0"/>
    </w:p>
    <w:p w:rsidR="001D5A80" w:rsidRPr="00F969D7" w:rsidRDefault="001D5A80" w:rsidP="00F969D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69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Глава 2.</w:t>
      </w:r>
    </w:p>
    <w:p w:rsidR="001D5A80" w:rsidRDefault="001D5A80" w:rsidP="00F969D7">
      <w:pPr>
        <w:pStyle w:val="a8"/>
        <w:shd w:val="clear" w:color="auto" w:fill="FFFFFF"/>
        <w:spacing w:after="0" w:line="300" w:lineRule="atLeast"/>
        <w:ind w:left="92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Отношение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Н.В.Гоголя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иллюстрированию его творчества</w:t>
      </w:r>
    </w:p>
    <w:p w:rsidR="00B50957" w:rsidRPr="00C97847" w:rsidRDefault="00B50957" w:rsidP="001D5A80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8F2E96" w:rsidRPr="00C97847" w:rsidRDefault="008F2E96" w:rsidP="00F969D7">
      <w:pPr>
        <w:pStyle w:val="a4"/>
        <w:shd w:val="clear" w:color="auto" w:fill="FFFFFF"/>
        <w:spacing w:before="150" w:beforeAutospacing="0" w:after="150" w:afterAutospacing="0" w:line="270" w:lineRule="atLeast"/>
        <w:ind w:left="142" w:right="150"/>
        <w:rPr>
          <w:rFonts w:ascii="Arial" w:hAnsi="Arial" w:cs="Arial"/>
          <w:color w:val="0D0D0D" w:themeColor="text1" w:themeTint="F2"/>
          <w:sz w:val="21"/>
          <w:szCs w:val="21"/>
        </w:rPr>
      </w:pP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Поэма Н. В. Гоголя “Мертвые души”, написанная в 1841 году, стала одним из замечательных произведений не только русской литературы XIX века, но и последующего времени. Несомненно, что по силе и художественному мастерству, по глубине идей и мастерству их воплощения, бессмертное творение великого русского писателя стоит в одном ряду с такими шедеврами русской литературы, как “Горе от ума” А. С. Грибоедова, “Евгений Онегин” А. С. Пушкина и “Герой нашего времени” М. Ю. Лермонтова.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В своей незавершенной поэме автор хотел показать всю Русь, все ее пороки, недостатки и достоинства. Известно, что художественный замысел был “подарен” Гоголю Пушкиным. Нельзя говорить о том, что автору удалось нарисовать картину жизни Руси “лишь с одного боку”, создав галерею помещиков, образы чиновников губернского города и крепостных крестьян.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Образы помещиков нарисованы Гоголем наиболее полно и многогранно. Их описанию посвящены пять глав (со второй по шестую). В них автор создал пять различных портретов, столь непохожих друг на друга, хотя черты типичного российского помещика проступают в каждом из них.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При описании каждого из помещиков Гоголь идет следующим путем: описание деревни, господского дома, портрет хозяина, интерьер, в котором наиболее точно проявляется сущность помещика.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Первым владетелем крепостных, к которому приезжает Чичиков, оказывается Манилов. Уже в его фамилии проступают черты его характера. Как пишет Гоголь, “черты его были не лишены приятности, но в эту приятность... чересчур было передано сахару”. Манилов - человек сентиментальный, живущий в мире своих мечтаний и фантазий, далекий от реальной действительности. В его воображении жизнь является некоей идиллией, картиной довольства с разнообразными “храмами уединенного размышления”.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 xml:space="preserve">    Когда-то в молодости Манилов слыл в армии образованным человеком, между тем в его кабинете лежит книга, заложенная на четырнадцатой странице уже два года. Манилов представляет собой пародию на героя сентиментальных романов, а его беспочвенные мечтания и “прожекты” (к примеру, о постройке моста) дают повод Гоголю сравнить помещика со “слишком умным министром”. </w:t>
      </w:r>
      <w:r w:rsidR="00F969D7">
        <w:rPr>
          <w:rFonts w:ascii="Arial" w:hAnsi="Arial" w:cs="Arial"/>
          <w:color w:val="0D0D0D" w:themeColor="text1" w:themeTint="F2"/>
          <w:sz w:val="21"/>
          <w:szCs w:val="21"/>
        </w:rPr>
        <w:t>И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ной министр может и не слишком отличается от мечтательного и бездеятельного Манилова, а “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маниловщина</w:t>
      </w:r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” является типичным явлением этой пошлой жизни. Ирония Гоголя вторгается в запретные зоны.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Впрочем, Манилов - далеко не самый отрицательный персонаж поэмы, так как излишняя слащавость, сентиментальность, пошлость не являются худшими чертами человеческого характера. У этого помещика нет сумасбродства Ноздрева, торгашества Собакевича, прижимистости Коробочки, скупости Плюшкина.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Надо заметить, что при описании помещиков Гоголь идет от лучшего к худшему: от Манилова к Плюшкину, “прорехе на человечестве, обладающему самой омертвелой душой ”.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После встречи с Маниловым Чичиков отправляется к Собакевичу, но, заблудившись в пути, оказывается у Коробочки. Описывая Коробочку, автор сравнивает ее с “одной из тех матушек, небольших помещиц, которые плачутся на неурожаи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,., </w:t>
      </w:r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а между тем набирают понемногу деньжонок”. Основной жизненный принцип “дубинноголовой” Коробочки (так характеризует ее Чичиков) — “не продешевить”. Впоследствии она и приезжает в город узнать цены на мертвые души.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Характеризуя помещицу, Гоголь не может удержаться и не добавить, что “иной и почтенный, и государственный даже человек, а на деле выходит совершенная Коробочка”, тем самым подчеркивая типичность помещицы.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Совершенно другой тип помещика представляет собой Ноздрев, которого встречает в трактире по пути к Собакевичу Чичиков. Это “исторический человек”, “мастер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hyperlink r:id="rId9" w:tgtFrame="_blank" w:history="1">
        <w:r w:rsidRPr="00C97847">
          <w:rPr>
            <w:rStyle w:val="a3"/>
            <w:rFonts w:ascii="Arial" w:hAnsi="Arial" w:cs="Arial"/>
            <w:color w:val="0D0D0D" w:themeColor="text1" w:themeTint="F2"/>
            <w:sz w:val="21"/>
            <w:szCs w:val="21"/>
          </w:rPr>
          <w:t>лить</w:t>
        </w:r>
      </w:hyperlink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пули”, 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lastRenderedPageBreak/>
        <w:t xml:space="preserve">шулер, картежник, готовый менять кого угодно на что угодно. Он - несусветный враль со своеобразной “широтой души”, имеющий “страстишку — нагадить ближнему”. Интересно то, что все об этом знают 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и</w:t>
      </w:r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 тем не менее </w:t>
      </w:r>
      <w:r w:rsidR="00205DE7">
        <w:rPr>
          <w:rFonts w:ascii="Arial" w:hAnsi="Arial" w:cs="Arial"/>
          <w:color w:val="0D0D0D" w:themeColor="text1" w:themeTint="F2"/>
          <w:sz w:val="21"/>
          <w:szCs w:val="21"/>
        </w:rPr>
        <w:t>(19)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Ноздрева везде принимают. Как едко замечает Гоголь, “такое на одной Руси могло случаться”. Ноздрев ведет себя вызывающе, даже агрессивно (чего только стоит сцена игры в шашки). Своим хозяйством он не занимается, единственное место, которое содержалось у него в образцовом порядке, - это была псарня, где он был “совершеннейший отец среди семейства”. Он является родоначальником такого социального явления, как “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ноздревщина</w:t>
      </w:r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”.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</w:r>
      <w:r w:rsidR="009B45EA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После чудесного спасения с помощью капитана-исправника Чичиков, наконец, добрался до деревни Собакевича. При описании характера данного персонажа Гоголь прибегает к приему одушевления неодушевленного. Уже сама деревня, построенная добротно, из массивных бревен (даже колодец срублен из бревен, которые идут только на мельницы и корабли), кажется, олицетворяет самого Собакевича. Так же и интерьер господского дома: все массивно, прочно, тяжеловесно, кажется, что каждый предмет говорил: “И я тоже Собакевич”. Чичикову помещик напоминает “средней величины медведя ”.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По своему характеру Собакевич является циником, не стыдящимся морального уродства ни в себе, ни в других. Общаясь с чиновниками города NN. играя с ними в вист, ведя с ними свои дела, он дает им крайне нелестные характеристики (губернатора он называет разбойником, полицмейстера - мошенником).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 xml:space="preserve">    Этот помещик представляет собой тип помещика-торгаша, “кулака”. Из всего он пытается извлечь выгоду, даже из продажи “-мертвых душ”, в конечном итоге он подсовывает Чичикову некую </w:t>
      </w:r>
      <w:proofErr w:type="spell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Елизаветъ</w:t>
      </w:r>
      <w:proofErr w:type="spell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 Воробей, выдавая ее за крепостного. Он и о своих крестьянах заботится постольку, поскольку это его крепостные, которые приносят ему прибыль.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Последним помещиком, которого посещает Чичиков, является Плюшкин. Он - единственный персонаж поэмы, прошлое которого нам показано (за исключением Чичикова). Собакевич, Манилов, Ноздрев, Коробочка - все они застыли в своем развитии, их образы статичны. Образ же Плюшкина динамичен, он претерпевает некую эволюцию, правда, от лучшего к худшему. Ранее он был неплохим, рачительным хозяином, даже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hyperlink r:id="rId10" w:tgtFrame="_blank" w:history="1">
        <w:r w:rsidRPr="00C97847">
          <w:rPr>
            <w:rStyle w:val="a3"/>
            <w:rFonts w:ascii="Arial" w:hAnsi="Arial" w:cs="Arial"/>
            <w:color w:val="0D0D0D" w:themeColor="text1" w:themeTint="F2"/>
            <w:sz w:val="21"/>
            <w:szCs w:val="21"/>
          </w:rPr>
          <w:t>соседи</w:t>
        </w:r>
      </w:hyperlink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ездили к нему поучиться хозяйствованию. Но жена умерла, старшая дочь вышла замуж за военного, сын стал делать карьеру в армии (Плюшкин крайне неприязненно относился к военным), вскоре умерла и младшая дочь, и он остался один. 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В результате началась та моральная деградация личности, которая сделала из хорошего хозяина “прореху на человечестве”, болезненного скрягу, собирающего всякий хлам, будь то старое ведро, листок бумаги или перо.</w:t>
      </w:r>
      <w:r w:rsidR="00803320">
        <w:rPr>
          <w:rFonts w:ascii="Arial" w:hAnsi="Arial" w:cs="Arial"/>
          <w:color w:val="0D0D0D" w:themeColor="text1" w:themeTint="F2"/>
          <w:sz w:val="21"/>
          <w:szCs w:val="21"/>
        </w:rPr>
        <w:t xml:space="preserve"> (21.2)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 Плюшкин превратился в некое бесполое существо (Чичиков долго не может понять, кто перед ним, баба или мужик, наконец</w:t>
      </w:r>
      <w:r w:rsidR="00803320">
        <w:rPr>
          <w:rFonts w:ascii="Arial" w:hAnsi="Arial" w:cs="Arial"/>
          <w:color w:val="0D0D0D" w:themeColor="text1" w:themeTint="F2"/>
          <w:sz w:val="21"/>
          <w:szCs w:val="21"/>
        </w:rPr>
        <w:t xml:space="preserve">, 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 решает, что это ключница).</w:t>
      </w:r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 xml:space="preserve"> Деревня и хозяйство помещика находятся в полном упадке, везде заметна “какая-то особенная ветхость”. Но все-таки даже этому помещику автор оставляет шанс на перерождение. Его душа напоминает сад возле дома: “Такая же мрачная, заросшая, заглохшая”. Однако в саду Чичиков замечает, что солнце, каким-то образом проникшее в этот сад, освещает одну ветвь клена так, что она становится “прозрачной и огненной, чудно сиявшей в этой густой темноте”. Огненная ветвь клена в саду чем-то схожа с подобием чувства, промелькнувшего на лице Плюшкина при упоминании его школьного товарища. Вполне возможно, что в последующих частях поэмы автор хотел показать моральное перерождение не только Чичикова, но и Плюшкина, душа которого все-таки не умерла до конца (“на этом деревянном лице... выразилось... какое-то бледное отражение чувства”).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Но все-таки и помещики, и их быт неподвижны, они застыли все в своем развитии.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br/>
        <w:t>    Гоголь в своей бессмертной поэме “Мертвые души” показал неприглядную картину жизни поместных дворян, их моральное вырождение, упадок. Галерея помещиков представляет собой галерею “мертвых душ”, “</w:t>
      </w:r>
      <w:proofErr w:type="gram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ока-</w:t>
      </w:r>
      <w:proofErr w:type="spellStart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менелостей</w:t>
      </w:r>
      <w:proofErr w:type="spellEnd"/>
      <w:proofErr w:type="gramEnd"/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t>”. Они уже не способны выполнять свое прямое предназначение - способствовать процветанию государства Российского. Они мертвы не только морально, но и духовно.</w:t>
      </w:r>
    </w:p>
    <w:p w:rsidR="008F2E96" w:rsidRDefault="008F2E96" w:rsidP="008F2E96">
      <w:pPr>
        <w:shd w:val="clear" w:color="auto" w:fill="FFFFFF"/>
        <w:spacing w:line="270" w:lineRule="atLeast"/>
        <w:rPr>
          <w:color w:val="0D0D0D" w:themeColor="text1" w:themeTint="F2"/>
        </w:rPr>
      </w:pPr>
      <w:r w:rsidRPr="00C97847">
        <w:rPr>
          <w:rFonts w:ascii="Arial" w:hAnsi="Arial" w:cs="Arial"/>
          <w:color w:val="0D0D0D" w:themeColor="text1" w:themeTint="F2"/>
          <w:sz w:val="21"/>
          <w:szCs w:val="21"/>
        </w:rPr>
        <w:lastRenderedPageBreak/>
        <w:t> </w:t>
      </w:r>
      <w:r w:rsidRPr="00C97847">
        <w:rPr>
          <w:rStyle w:val="apple-converted-space"/>
          <w:rFonts w:ascii="Arial" w:hAnsi="Arial" w:cs="Arial"/>
          <w:color w:val="0D0D0D" w:themeColor="text1" w:themeTint="F2"/>
          <w:sz w:val="21"/>
          <w:szCs w:val="21"/>
        </w:rPr>
        <w:t> </w:t>
      </w:r>
    </w:p>
    <w:p w:rsidR="00C97847" w:rsidRDefault="00C97847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9B45EA" w:rsidRDefault="009B45EA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B45EA" w:rsidRDefault="009B45EA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B45EA" w:rsidRDefault="009B45EA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B45EA" w:rsidRDefault="009B45EA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D5A80" w:rsidRDefault="001D5A80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803320">
        <w:rPr>
          <w:rFonts w:ascii="Arial" w:hAnsi="Arial" w:cs="Arial"/>
          <w:color w:val="0D0D0D" w:themeColor="text1" w:themeTint="F2"/>
          <w:sz w:val="24"/>
          <w:szCs w:val="24"/>
        </w:rPr>
        <w:t>Заключение.</w:t>
      </w:r>
    </w:p>
    <w:p w:rsidR="009B45EA" w:rsidRPr="00803320" w:rsidRDefault="009B45EA" w:rsidP="001D5A8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803320" w:rsidP="00803320">
      <w:pPr>
        <w:shd w:val="clear" w:color="auto" w:fill="FFFFFF"/>
        <w:spacing w:line="270" w:lineRule="atLeast"/>
        <w:jc w:val="center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rFonts w:ascii="Arial" w:hAnsi="Arial" w:cs="Arial"/>
          <w:color w:val="0D0D0D" w:themeColor="text1" w:themeTint="F2"/>
          <w:sz w:val="21"/>
          <w:szCs w:val="21"/>
        </w:rPr>
        <w:br/>
      </w: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C832F3" w:rsidRPr="00C832F3" w:rsidRDefault="00C832F3" w:rsidP="00C832F3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  <w:r w:rsidRPr="00C832F3">
        <w:rPr>
          <w:rFonts w:ascii="Arial" w:hAnsi="Arial" w:cs="Arial"/>
          <w:color w:val="0D0D0D" w:themeColor="text1" w:themeTint="F2"/>
          <w:sz w:val="21"/>
          <w:szCs w:val="21"/>
        </w:rPr>
        <w:t>В заключении</w:t>
      </w:r>
      <w:r w:rsidR="00F944B6">
        <w:rPr>
          <w:rFonts w:ascii="Arial" w:hAnsi="Arial" w:cs="Arial"/>
          <w:color w:val="0D0D0D" w:themeColor="text1" w:themeTint="F2"/>
          <w:sz w:val="21"/>
          <w:szCs w:val="21"/>
        </w:rPr>
        <w:t>е,</w:t>
      </w:r>
      <w:r w:rsidRPr="00C832F3">
        <w:rPr>
          <w:rFonts w:ascii="Arial" w:hAnsi="Arial" w:cs="Arial"/>
          <w:color w:val="0D0D0D" w:themeColor="text1" w:themeTint="F2"/>
          <w:sz w:val="21"/>
          <w:szCs w:val="21"/>
        </w:rPr>
        <w:t xml:space="preserve"> могу сказать, что рассматривая иллюстрации к поэме Н.В. Гоголя «Мертвые души», много чего узнала. Но я не смогла рассмотреть всех иллюстраторов.  </w:t>
      </w:r>
    </w:p>
    <w:p w:rsidR="00C832F3" w:rsidRPr="00C832F3" w:rsidRDefault="00C832F3" w:rsidP="00C832F3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  <w:r w:rsidRPr="00C832F3">
        <w:rPr>
          <w:rFonts w:ascii="Arial" w:hAnsi="Arial" w:cs="Arial"/>
          <w:color w:val="0D0D0D" w:themeColor="text1" w:themeTint="F2"/>
          <w:sz w:val="21"/>
          <w:szCs w:val="21"/>
        </w:rPr>
        <w:t>Раскрывая образы помещиков и Чичикова в разных обрисовках, понимаешь, что все образы разные для восприятия человека. Возможно, и в современности будут люди, которые раскроют нам свой взгляд на «Мертвые души» через  портреты.</w:t>
      </w:r>
    </w:p>
    <w:p w:rsidR="00C832F3" w:rsidRPr="00C832F3" w:rsidRDefault="00C832F3" w:rsidP="00C832F3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  <w:r w:rsidRPr="00C832F3">
        <w:rPr>
          <w:rFonts w:ascii="Arial" w:hAnsi="Arial" w:cs="Arial"/>
          <w:color w:val="0D0D0D" w:themeColor="text1" w:themeTint="F2"/>
          <w:sz w:val="21"/>
          <w:szCs w:val="21"/>
        </w:rPr>
        <w:t xml:space="preserve">Почти каждый из представленных иллюстраторов, пытаясь передать образы героем поэмы Н.В. Гоголя, открывал новые виды искусства. Сам же писатель, тоже проиллюстрировал  «Мертвые души». Хотя его отношение к картинам в книгах и было в какой-то мере отрицательным, но все-таки написал картину с приезда Чичикова в город </w:t>
      </w:r>
      <w:r w:rsidRPr="00C832F3">
        <w:rPr>
          <w:rFonts w:ascii="Arial" w:hAnsi="Arial" w:cs="Arial"/>
          <w:color w:val="0D0D0D" w:themeColor="text1" w:themeTint="F2"/>
          <w:sz w:val="21"/>
          <w:szCs w:val="21"/>
          <w:lang w:val="en-US"/>
        </w:rPr>
        <w:t>NN</w:t>
      </w:r>
      <w:r w:rsidRPr="00C832F3">
        <w:rPr>
          <w:rFonts w:ascii="Arial" w:hAnsi="Arial" w:cs="Arial"/>
          <w:color w:val="0D0D0D" w:themeColor="text1" w:themeTint="F2"/>
          <w:sz w:val="21"/>
          <w:szCs w:val="21"/>
        </w:rPr>
        <w:t>.</w:t>
      </w: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C2364" w:rsidRDefault="00BC2364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1D5A80" w:rsidRPr="00C97847" w:rsidRDefault="001D5A80" w:rsidP="008F2E96">
      <w:pPr>
        <w:shd w:val="clear" w:color="auto" w:fill="FFFFFF"/>
        <w:spacing w:line="270" w:lineRule="atLeast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B50957" w:rsidRPr="00803320" w:rsidRDefault="0068683F" w:rsidP="0068683F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803320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Список литературы.</w:t>
      </w:r>
    </w:p>
    <w:p w:rsidR="00B50957" w:rsidRPr="00C97847" w:rsidRDefault="00B50957" w:rsidP="00BC2364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9784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</w:p>
    <w:p w:rsidR="00BC2364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Гоголь Н.В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0"/>
          <w:lang w:eastAsia="ru-RU"/>
        </w:rPr>
        <w:t>.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Письмо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П.А.Плетневу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, 20. 3. 1846. Рим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 // П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олн. собр. соч. Т.13. М., 1952. С.45.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Подробнее см. мою статью «Иллюстрация и литература»: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proofErr w:type="spellStart"/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Герчук</w:t>
      </w:r>
      <w:proofErr w:type="spellEnd"/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 xml:space="preserve"> Ю.Я.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Художественные миры книги. М., 1989.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b/>
          <w:i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Тынянов Ю.Н.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Иллюстрации // Тынянов Ю.Н.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Поэтика. История литературы. Кино. М., 1977. С.311.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Там же. С. 311-312.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Гоголь Н. В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0"/>
          <w:lang w:eastAsia="ru-RU"/>
        </w:rPr>
        <w:t>.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Письмо к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П.А.Плетневу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, 10. 7. 1847 // Указ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.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 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и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зд. С.346.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Ветхий завет в картинах. СПб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., 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1846.</w:t>
      </w:r>
    </w:p>
    <w:p w:rsidR="00B50957" w:rsidRPr="00BC2364" w:rsidRDefault="009B45EA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hyperlink r:id="rId11" w:tgtFrame="_blank" w:history="1">
        <w:r w:rsidR="00B50957" w:rsidRPr="00BC2364">
          <w:rPr>
            <w:rFonts w:ascii="Times New Roman" w:eastAsia="Times New Roman" w:hAnsi="Times New Roman" w:cs="Times New Roman"/>
            <w:b/>
            <w:i/>
            <w:iCs/>
            <w:color w:val="0D0D0D" w:themeColor="text1" w:themeTint="F2"/>
            <w:lang w:eastAsia="ru-RU"/>
          </w:rPr>
          <w:t>Майков</w:t>
        </w:r>
      </w:hyperlink>
      <w:r w:rsidR="00B50957"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lang w:eastAsia="ru-RU"/>
        </w:rPr>
        <w:t> </w:t>
      </w:r>
      <w:r w:rsidR="00B50957"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В.</w:t>
      </w:r>
      <w:r w:rsidR="00B50957"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="00B50957"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Сочинения. Т.1. Киев, 1901. С.157.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100 рисунков из сочинения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Н.В.Гоголя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 «Мертвые Души», рисовал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А.Агин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, гравировал на дереве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Е.Бернардский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. СПб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., 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1846.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Тургенев И.С.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Полн. собр. соч. М.; Л., 19??. Т.1. С. 306-307.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Майков В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0"/>
          <w:lang w:eastAsia="ru-RU"/>
        </w:rPr>
        <w:t>.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Указ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.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 </w:t>
      </w:r>
      <w:proofErr w:type="gram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и</w:t>
      </w:r>
      <w:proofErr w:type="gram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зд.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Дягилев С.П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0"/>
          <w:lang w:eastAsia="ru-RU"/>
        </w:rPr>
        <w:t>.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Иллюстрации к Пушкину (Мир искусства. 1899. № 16–17) // Сергей Дягилев и русское искусство. М., 1982. Т.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val="en-US" w:eastAsia="ru-RU"/>
        </w:rPr>
        <w:t>I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. С.96.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Русская книга девятнадцатого века. М., 1925. С.274.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r w:rsidRPr="00BC236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Cs w:val="20"/>
          <w:lang w:eastAsia="ru-RU"/>
        </w:rPr>
        <w:t>Сидоров А.А.</w:t>
      </w:r>
      <w:r w:rsidRPr="00BC2364">
        <w:rPr>
          <w:rFonts w:ascii="Times New Roman" w:eastAsia="Times New Roman" w:hAnsi="Times New Roman" w:cs="Times New Roman"/>
          <w:i/>
          <w:iCs/>
          <w:color w:val="0D0D0D" w:themeColor="text1" w:themeTint="F2"/>
          <w:lang w:eastAsia="ru-RU"/>
        </w:rPr>
        <w:t> </w:t>
      </w:r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Русская графика начала ХХ века. М., 1969. С.53.</w:t>
      </w:r>
    </w:p>
    <w:p w:rsidR="00B50957" w:rsidRPr="00BC2364" w:rsidRDefault="00B50957" w:rsidP="00BC2364">
      <w:pPr>
        <w:pStyle w:val="a8"/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lang w:eastAsia="ru-RU"/>
        </w:rPr>
      </w:pPr>
      <w:proofErr w:type="spellStart"/>
      <w:r w:rsidRPr="00BC2364">
        <w:rPr>
          <w:rFonts w:ascii="Times New Roman" w:eastAsia="Times New Roman" w:hAnsi="Times New Roman" w:cs="Times New Roman"/>
          <w:b/>
          <w:i/>
          <w:color w:val="0D0D0D" w:themeColor="text1" w:themeTint="F2"/>
          <w:szCs w:val="20"/>
          <w:lang w:eastAsia="ru-RU"/>
        </w:rPr>
        <w:t>В.А.Фаворский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 xml:space="preserve">. Воспоминания современников. Письма художника. Стенограммы выступлений. М., 1991. С.68. Запись </w:t>
      </w:r>
      <w:proofErr w:type="spellStart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М.А.Рабиновича</w:t>
      </w:r>
      <w:proofErr w:type="spellEnd"/>
      <w:r w:rsidRPr="00BC2364"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  <w:t>.</w:t>
      </w:r>
    </w:p>
    <w:p w:rsidR="00546CD4" w:rsidRPr="00BC2364" w:rsidRDefault="00B40CD8" w:rsidP="00BC2364">
      <w:pPr>
        <w:pStyle w:val="a8"/>
        <w:numPr>
          <w:ilvl w:val="0"/>
          <w:numId w:val="5"/>
        </w:numPr>
        <w:rPr>
          <w:color w:val="0D0D0D" w:themeColor="text1" w:themeTint="F2"/>
        </w:rPr>
      </w:pPr>
      <w:r w:rsidRPr="00BC2364">
        <w:rPr>
          <w:color w:val="0D0D0D" w:themeColor="text1" w:themeTint="F2"/>
          <w:lang w:val="en-US"/>
        </w:rPr>
        <w:t>http</w:t>
      </w:r>
      <w:r w:rsidRPr="00BC2364">
        <w:rPr>
          <w:color w:val="0D0D0D" w:themeColor="text1" w:themeTint="F2"/>
        </w:rPr>
        <w:t>://</w:t>
      </w:r>
      <w:proofErr w:type="spellStart"/>
      <w:r w:rsidRPr="00BC2364">
        <w:rPr>
          <w:color w:val="0D0D0D" w:themeColor="text1" w:themeTint="F2"/>
          <w:lang w:val="en-US"/>
        </w:rPr>
        <w:t>gogol</w:t>
      </w:r>
      <w:proofErr w:type="spellEnd"/>
      <w:r w:rsidRPr="00BC2364">
        <w:rPr>
          <w:color w:val="0D0D0D" w:themeColor="text1" w:themeTint="F2"/>
        </w:rPr>
        <w:t>-</w:t>
      </w:r>
      <w:proofErr w:type="spellStart"/>
      <w:r w:rsidRPr="00BC2364">
        <w:rPr>
          <w:color w:val="0D0D0D" w:themeColor="text1" w:themeTint="F2"/>
          <w:lang w:val="en-US"/>
        </w:rPr>
        <w:t>sc</w:t>
      </w:r>
      <w:proofErr w:type="spellEnd"/>
      <w:r w:rsidRPr="00BC2364">
        <w:rPr>
          <w:color w:val="0D0D0D" w:themeColor="text1" w:themeTint="F2"/>
        </w:rPr>
        <w:t>769.</w:t>
      </w:r>
      <w:proofErr w:type="spellStart"/>
      <w:r w:rsidRPr="00BC2364">
        <w:rPr>
          <w:color w:val="0D0D0D" w:themeColor="text1" w:themeTint="F2"/>
          <w:lang w:val="en-US"/>
        </w:rPr>
        <w:t>narod</w:t>
      </w:r>
      <w:proofErr w:type="spellEnd"/>
      <w:r w:rsidRPr="00BC2364">
        <w:rPr>
          <w:color w:val="0D0D0D" w:themeColor="text1" w:themeTint="F2"/>
        </w:rPr>
        <w:t>.</w:t>
      </w:r>
      <w:proofErr w:type="spellStart"/>
      <w:r w:rsidRPr="00BC2364">
        <w:rPr>
          <w:color w:val="0D0D0D" w:themeColor="text1" w:themeTint="F2"/>
          <w:lang w:val="en-US"/>
        </w:rPr>
        <w:t>ru</w:t>
      </w:r>
      <w:proofErr w:type="spellEnd"/>
      <w:r w:rsidRPr="00BC2364">
        <w:rPr>
          <w:color w:val="0D0D0D" w:themeColor="text1" w:themeTint="F2"/>
        </w:rPr>
        <w:t>/</w:t>
      </w:r>
      <w:r w:rsidRPr="00BC2364">
        <w:rPr>
          <w:color w:val="0D0D0D" w:themeColor="text1" w:themeTint="F2"/>
          <w:lang w:val="en-US"/>
        </w:rPr>
        <w:t>present</w:t>
      </w:r>
      <w:r w:rsidRPr="00BC2364">
        <w:rPr>
          <w:color w:val="0D0D0D" w:themeColor="text1" w:themeTint="F2"/>
        </w:rPr>
        <w:t>.</w:t>
      </w:r>
      <w:r w:rsidRPr="00BC2364">
        <w:rPr>
          <w:color w:val="0D0D0D" w:themeColor="text1" w:themeTint="F2"/>
          <w:lang w:val="en-US"/>
        </w:rPr>
        <w:t>html</w:t>
      </w:r>
    </w:p>
    <w:sectPr w:rsidR="00546CD4" w:rsidRPr="00BC2364" w:rsidSect="005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98E"/>
    <w:multiLevelType w:val="hybridMultilevel"/>
    <w:tmpl w:val="9550CBFA"/>
    <w:lvl w:ilvl="0" w:tplc="E42869C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A0FF1"/>
    <w:multiLevelType w:val="hybridMultilevel"/>
    <w:tmpl w:val="7D3A9812"/>
    <w:lvl w:ilvl="0" w:tplc="E42869C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E968F6"/>
    <w:multiLevelType w:val="hybridMultilevel"/>
    <w:tmpl w:val="DB6E8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8237EB"/>
    <w:multiLevelType w:val="hybridMultilevel"/>
    <w:tmpl w:val="943C3BEA"/>
    <w:lvl w:ilvl="0" w:tplc="901C0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E77099"/>
    <w:multiLevelType w:val="hybridMultilevel"/>
    <w:tmpl w:val="075CB952"/>
    <w:lvl w:ilvl="0" w:tplc="901C0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957"/>
    <w:rsid w:val="00104410"/>
    <w:rsid w:val="00194AF8"/>
    <w:rsid w:val="001D5A80"/>
    <w:rsid w:val="00205DE7"/>
    <w:rsid w:val="002A4A9E"/>
    <w:rsid w:val="002C015D"/>
    <w:rsid w:val="00415C03"/>
    <w:rsid w:val="00546CD4"/>
    <w:rsid w:val="005B06DD"/>
    <w:rsid w:val="0068683F"/>
    <w:rsid w:val="006A6895"/>
    <w:rsid w:val="007072BA"/>
    <w:rsid w:val="00803320"/>
    <w:rsid w:val="008F2E96"/>
    <w:rsid w:val="009B45EA"/>
    <w:rsid w:val="00B40CD8"/>
    <w:rsid w:val="00B50957"/>
    <w:rsid w:val="00B73799"/>
    <w:rsid w:val="00BC2364"/>
    <w:rsid w:val="00C832F3"/>
    <w:rsid w:val="00C97847"/>
    <w:rsid w:val="00CF193E"/>
    <w:rsid w:val="00D531E0"/>
    <w:rsid w:val="00E02235"/>
    <w:rsid w:val="00EA4665"/>
    <w:rsid w:val="00F944B6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957"/>
  </w:style>
  <w:style w:type="character" w:styleId="a3">
    <w:name w:val="Hyperlink"/>
    <w:basedOn w:val="a0"/>
    <w:uiPriority w:val="99"/>
    <w:unhideWhenUsed/>
    <w:rsid w:val="00B509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072BA"/>
    <w:rPr>
      <w:color w:val="808080"/>
    </w:rPr>
  </w:style>
  <w:style w:type="paragraph" w:styleId="a6">
    <w:name w:val="No Spacing"/>
    <w:link w:val="a7"/>
    <w:uiPriority w:val="1"/>
    <w:qFormat/>
    <w:rsid w:val="00D531E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531E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0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ction.eksm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11" Type="http://schemas.openxmlformats.org/officeDocument/2006/relationships/hyperlink" Target="http://mexx-sho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sed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Kab. 3.4</cp:lastModifiedBy>
  <cp:revision>13</cp:revision>
  <dcterms:created xsi:type="dcterms:W3CDTF">2014-04-13T16:25:00Z</dcterms:created>
  <dcterms:modified xsi:type="dcterms:W3CDTF">2014-04-24T08:06:00Z</dcterms:modified>
</cp:coreProperties>
</file>