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0" w:rsidRPr="00193960" w:rsidRDefault="00193960" w:rsidP="00D3673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193960">
        <w:rPr>
          <w:b/>
          <w:color w:val="000000"/>
          <w:sz w:val="28"/>
          <w:szCs w:val="28"/>
        </w:rPr>
        <w:t>Подготовка к диктанту как способ формирования у кадетов навыков самостоятельной учебной работы.</w:t>
      </w:r>
    </w:p>
    <w:p w:rsidR="00193960" w:rsidRDefault="00193960" w:rsidP="00193960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Гуссаова</w:t>
      </w:r>
      <w:proofErr w:type="spellEnd"/>
      <w:r>
        <w:rPr>
          <w:color w:val="000000"/>
          <w:sz w:val="28"/>
          <w:szCs w:val="28"/>
        </w:rPr>
        <w:t xml:space="preserve"> З.О.</w:t>
      </w:r>
    </w:p>
    <w:p w:rsidR="001A5687" w:rsidRPr="0094307C" w:rsidRDefault="001A5687" w:rsidP="00D3673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307C">
        <w:rPr>
          <w:color w:val="000000"/>
          <w:sz w:val="28"/>
          <w:szCs w:val="28"/>
        </w:rPr>
        <w:t xml:space="preserve">Процесс овладения знаниями имеет две стороны: преподавание — деятельность педагогов и учение — деятельность обучаемых. Без активной работы и того, кто учит, и того, кто учится, не может быть успеха в овладении знаниями. Задача педагогов кадетского корпуса состоит в том, чтобы определённым образом организовать и направить познавательную деятельность </w:t>
      </w:r>
      <w:r w:rsidR="001A2C55">
        <w:rPr>
          <w:color w:val="000000"/>
          <w:sz w:val="28"/>
          <w:szCs w:val="28"/>
        </w:rPr>
        <w:t>обучающихся</w:t>
      </w:r>
      <w:r w:rsidRPr="0094307C">
        <w:rPr>
          <w:color w:val="000000"/>
          <w:sz w:val="28"/>
          <w:szCs w:val="28"/>
        </w:rPr>
        <w:t>. Но добывание знаний осуществляют сами обучаемые. Эту работу за них не может выполнить никто. Поэтому самостоятельная работа является важной частью учебного процесса, едва ли не главным методом изучения и усвоения учебного материала. Она должна составлять основу всех видов занятий под руководством преподавателя и настойчиво проводит</w:t>
      </w:r>
      <w:r w:rsidR="007E4490">
        <w:rPr>
          <w:color w:val="000000"/>
          <w:sz w:val="28"/>
          <w:szCs w:val="28"/>
        </w:rPr>
        <w:t>ь</w:t>
      </w:r>
      <w:r w:rsidRPr="0094307C">
        <w:rPr>
          <w:color w:val="000000"/>
          <w:sz w:val="28"/>
          <w:szCs w:val="28"/>
        </w:rPr>
        <w:t>ся в часы самоподготовки.</w:t>
      </w:r>
    </w:p>
    <w:p w:rsidR="001A5687" w:rsidRPr="0094307C" w:rsidRDefault="001A5687" w:rsidP="00D3673D">
      <w:pPr>
        <w:pStyle w:val="a3"/>
        <w:shd w:val="clear" w:color="auto" w:fill="FFFFFF"/>
        <w:spacing w:line="360" w:lineRule="auto"/>
        <w:rPr>
          <w:rStyle w:val="a4"/>
          <w:color w:val="000000"/>
          <w:sz w:val="28"/>
          <w:szCs w:val="28"/>
        </w:rPr>
      </w:pPr>
      <w:r w:rsidRPr="0094307C">
        <w:rPr>
          <w:color w:val="000000"/>
          <w:sz w:val="28"/>
          <w:szCs w:val="28"/>
        </w:rPr>
        <w:t>На занятиях под руководством преподавателей, чтобы понять услышанное и</w:t>
      </w:r>
      <w:r w:rsidRPr="0094307C">
        <w:rPr>
          <w:color w:val="000000"/>
          <w:sz w:val="28"/>
          <w:szCs w:val="28"/>
        </w:rPr>
        <w:br/>
        <w:t xml:space="preserve">увиденное, кроме физического присутствия на них, кадету необходимо самостоятельно выполнить сложную систему умственных и физических действий, сосредоточить всё своё внимание на изучаемом материале, напрячь свою </w:t>
      </w:r>
      <w:r w:rsidR="007E4490" w:rsidRPr="0094307C">
        <w:rPr>
          <w:color w:val="000000"/>
          <w:sz w:val="28"/>
          <w:szCs w:val="28"/>
        </w:rPr>
        <w:t>память,</w:t>
      </w:r>
      <w:r w:rsidRPr="0094307C">
        <w:rPr>
          <w:color w:val="000000"/>
          <w:sz w:val="28"/>
          <w:szCs w:val="28"/>
        </w:rPr>
        <w:t xml:space="preserve"> и заставить себя мыслить. Но ещё в большей степени такая умственная работа должна проявляться и присутствовать у каждого кадета в период самостоятельной деятельности. Полученные в </w:t>
      </w:r>
      <w:r w:rsidR="00193960">
        <w:rPr>
          <w:color w:val="000000"/>
          <w:sz w:val="28"/>
          <w:szCs w:val="28"/>
        </w:rPr>
        <w:t>к</w:t>
      </w:r>
      <w:r w:rsidRPr="0094307C">
        <w:rPr>
          <w:color w:val="000000"/>
          <w:sz w:val="28"/>
          <w:szCs w:val="28"/>
        </w:rPr>
        <w:t xml:space="preserve">орпусе навыки </w:t>
      </w:r>
      <w:r w:rsidR="001A2C55">
        <w:rPr>
          <w:color w:val="000000"/>
          <w:sz w:val="28"/>
          <w:szCs w:val="28"/>
        </w:rPr>
        <w:t xml:space="preserve">самостоятельной работы </w:t>
      </w:r>
      <w:r w:rsidRPr="0094307C">
        <w:rPr>
          <w:color w:val="000000"/>
          <w:sz w:val="28"/>
          <w:szCs w:val="28"/>
        </w:rPr>
        <w:t>окажут неоценимую помощь в практической деятельности кадет</w:t>
      </w:r>
      <w:r w:rsidR="00071815" w:rsidRPr="0094307C">
        <w:rPr>
          <w:color w:val="000000"/>
          <w:sz w:val="28"/>
          <w:szCs w:val="28"/>
        </w:rPr>
        <w:t>ов</w:t>
      </w:r>
      <w:r w:rsidRPr="0094307C">
        <w:rPr>
          <w:color w:val="000000"/>
          <w:sz w:val="28"/>
          <w:szCs w:val="28"/>
        </w:rPr>
        <w:t>.</w:t>
      </w:r>
      <w:r w:rsidRPr="0094307C">
        <w:rPr>
          <w:rStyle w:val="a4"/>
          <w:color w:val="000000"/>
          <w:sz w:val="28"/>
          <w:szCs w:val="28"/>
        </w:rPr>
        <w:t xml:space="preserve"> </w:t>
      </w:r>
    </w:p>
    <w:p w:rsidR="0094307C" w:rsidRDefault="0094307C" w:rsidP="0081692C">
      <w:pPr>
        <w:spacing w:after="12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3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уроках учитель употребляет различные виды деятельности. Всегда что-то нравится больше, а что-то меньше. Я практикую разные виды диктантов и вижу много преимуществ</w:t>
      </w:r>
      <w:r w:rsidR="00193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их применения</w:t>
      </w:r>
      <w:r w:rsidRPr="00943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Большая </w:t>
      </w:r>
      <w:proofErr w:type="gramStart"/>
      <w:r w:rsidRPr="00943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часть учителей </w:t>
      </w:r>
      <w:r w:rsidR="00135B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отказывается </w:t>
      </w:r>
      <w:r w:rsidRPr="00943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использовать эту форму работы из-за отсутствия времени, считают</w:t>
      </w:r>
      <w:proofErr w:type="gramEnd"/>
      <w:r w:rsidRPr="009430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ее устаревшей. Лично я вижу следующие преимущества диктантов: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1939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1692C">
        <w:rPr>
          <w:rFonts w:ascii="Times New Roman" w:hAnsi="Times New Roman" w:cs="Times New Roman"/>
          <w:sz w:val="28"/>
          <w:szCs w:val="28"/>
        </w:rPr>
        <w:t xml:space="preserve"> проявляют активность во время диктанта</w:t>
      </w:r>
      <w:r w:rsidR="007E4490">
        <w:rPr>
          <w:rFonts w:ascii="Times New Roman" w:hAnsi="Times New Roman" w:cs="Times New Roman"/>
          <w:sz w:val="28"/>
          <w:szCs w:val="28"/>
        </w:rPr>
        <w:t>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- диктанты -</w:t>
      </w:r>
      <w:r w:rsidR="0081692C">
        <w:rPr>
          <w:rFonts w:ascii="Times New Roman" w:hAnsi="Times New Roman" w:cs="Times New Roman"/>
          <w:sz w:val="28"/>
          <w:szCs w:val="28"/>
        </w:rPr>
        <w:t xml:space="preserve"> </w:t>
      </w:r>
      <w:r w:rsidRPr="0081692C">
        <w:rPr>
          <w:rFonts w:ascii="Times New Roman" w:hAnsi="Times New Roman" w:cs="Times New Roman"/>
          <w:sz w:val="28"/>
          <w:szCs w:val="28"/>
        </w:rPr>
        <w:t>это путь к устной коммуникативной деятельности</w:t>
      </w:r>
      <w:r w:rsidR="007E4490">
        <w:rPr>
          <w:rFonts w:ascii="Times New Roman" w:hAnsi="Times New Roman" w:cs="Times New Roman"/>
          <w:sz w:val="28"/>
          <w:szCs w:val="28"/>
        </w:rPr>
        <w:t>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 xml:space="preserve">-они полезны в группах </w:t>
      </w:r>
      <w:r w:rsidR="00193960">
        <w:rPr>
          <w:rFonts w:ascii="Times New Roman" w:hAnsi="Times New Roman" w:cs="Times New Roman"/>
          <w:sz w:val="28"/>
          <w:szCs w:val="28"/>
        </w:rPr>
        <w:t>кадетов</w:t>
      </w:r>
      <w:r w:rsidRPr="0081692C">
        <w:rPr>
          <w:rFonts w:ascii="Times New Roman" w:hAnsi="Times New Roman" w:cs="Times New Roman"/>
          <w:sz w:val="28"/>
          <w:szCs w:val="28"/>
        </w:rPr>
        <w:t xml:space="preserve"> с разными способностями</w:t>
      </w:r>
      <w:r w:rsidR="007E4490">
        <w:rPr>
          <w:rFonts w:ascii="Times New Roman" w:hAnsi="Times New Roman" w:cs="Times New Roman"/>
          <w:sz w:val="28"/>
          <w:szCs w:val="28"/>
        </w:rPr>
        <w:t>,</w:t>
      </w:r>
      <w:r w:rsidR="002F3968">
        <w:rPr>
          <w:rFonts w:ascii="Times New Roman" w:hAnsi="Times New Roman" w:cs="Times New Roman"/>
          <w:sz w:val="28"/>
          <w:szCs w:val="28"/>
        </w:rPr>
        <w:t xml:space="preserve"> с разной языковой подготовкой,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-можно проводить в группах с разным количеств</w:t>
      </w:r>
      <w:r w:rsidR="00193960">
        <w:rPr>
          <w:rFonts w:ascii="Times New Roman" w:hAnsi="Times New Roman" w:cs="Times New Roman"/>
          <w:sz w:val="28"/>
          <w:szCs w:val="28"/>
        </w:rPr>
        <w:t>енным составом</w:t>
      </w:r>
      <w:r w:rsidRPr="0081692C">
        <w:rPr>
          <w:rFonts w:ascii="Times New Roman" w:hAnsi="Times New Roman" w:cs="Times New Roman"/>
          <w:sz w:val="28"/>
          <w:szCs w:val="28"/>
        </w:rPr>
        <w:t xml:space="preserve"> (даже в больших группах!)</w:t>
      </w:r>
      <w:r w:rsidR="007E4490">
        <w:rPr>
          <w:rFonts w:ascii="Times New Roman" w:hAnsi="Times New Roman" w:cs="Times New Roman"/>
          <w:sz w:val="28"/>
          <w:szCs w:val="28"/>
        </w:rPr>
        <w:t>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- надежный метод использования только иностранного языка (если учитель ставит такую цель)</w:t>
      </w:r>
      <w:r w:rsidR="007E4490">
        <w:rPr>
          <w:rFonts w:ascii="Times New Roman" w:hAnsi="Times New Roman" w:cs="Times New Roman"/>
          <w:sz w:val="28"/>
          <w:szCs w:val="28"/>
        </w:rPr>
        <w:t>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- существуют разнообразные формы его проведения</w:t>
      </w:r>
      <w:r w:rsidR="007E4490">
        <w:rPr>
          <w:rFonts w:ascii="Times New Roman" w:hAnsi="Times New Roman" w:cs="Times New Roman"/>
          <w:sz w:val="28"/>
          <w:szCs w:val="28"/>
        </w:rPr>
        <w:t>,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- материал для диктантов легко приспос</w:t>
      </w:r>
      <w:r w:rsidR="00193960">
        <w:rPr>
          <w:rFonts w:ascii="Times New Roman" w:hAnsi="Times New Roman" w:cs="Times New Roman"/>
          <w:sz w:val="28"/>
          <w:szCs w:val="28"/>
        </w:rPr>
        <w:t>обить</w:t>
      </w:r>
      <w:r w:rsidRPr="0081692C">
        <w:rPr>
          <w:rFonts w:ascii="Times New Roman" w:hAnsi="Times New Roman" w:cs="Times New Roman"/>
          <w:sz w:val="28"/>
          <w:szCs w:val="28"/>
        </w:rPr>
        <w:t xml:space="preserve"> к разным этапам урока, лексическому или грамматическому материалу и т.д.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 xml:space="preserve">Диктовать может как учитель, так и </w:t>
      </w:r>
      <w:r w:rsidR="00193960">
        <w:rPr>
          <w:rFonts w:ascii="Times New Roman" w:hAnsi="Times New Roman" w:cs="Times New Roman"/>
          <w:sz w:val="28"/>
          <w:szCs w:val="28"/>
        </w:rPr>
        <w:t>обучающийся</w:t>
      </w:r>
      <w:r w:rsidRPr="0081692C">
        <w:rPr>
          <w:rFonts w:ascii="Times New Roman" w:hAnsi="Times New Roman" w:cs="Times New Roman"/>
          <w:sz w:val="28"/>
          <w:szCs w:val="28"/>
        </w:rPr>
        <w:t>.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 xml:space="preserve">Отбирать материал для диктанта можно поручить любому </w:t>
      </w:r>
      <w:r w:rsidR="00193960">
        <w:rPr>
          <w:rFonts w:ascii="Times New Roman" w:hAnsi="Times New Roman" w:cs="Times New Roman"/>
          <w:sz w:val="28"/>
          <w:szCs w:val="28"/>
        </w:rPr>
        <w:t>кадету взвода</w:t>
      </w:r>
      <w:r w:rsidRPr="0081692C">
        <w:rPr>
          <w:rFonts w:ascii="Times New Roman" w:hAnsi="Times New Roman" w:cs="Times New Roman"/>
          <w:sz w:val="28"/>
          <w:szCs w:val="28"/>
        </w:rPr>
        <w:t>.</w:t>
      </w:r>
    </w:p>
    <w:p w:rsidR="0094307C" w:rsidRPr="0081692C" w:rsidRDefault="00370C34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</w:t>
      </w:r>
      <w:r w:rsidR="0094307C" w:rsidRPr="0081692C">
        <w:rPr>
          <w:rFonts w:ascii="Times New Roman" w:hAnsi="Times New Roman" w:cs="Times New Roman"/>
          <w:sz w:val="28"/>
          <w:szCs w:val="28"/>
        </w:rPr>
        <w:t xml:space="preserve"> текста диктанта различ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307C" w:rsidRPr="0081692C">
        <w:rPr>
          <w:rFonts w:ascii="Times New Roman" w:hAnsi="Times New Roman" w:cs="Times New Roman"/>
          <w:sz w:val="28"/>
          <w:szCs w:val="28"/>
        </w:rPr>
        <w:t>н - одно слово, группа слов, отрывок текста, высказывание и др.</w:t>
      </w:r>
    </w:p>
    <w:p w:rsidR="0094307C" w:rsidRPr="0081692C" w:rsidRDefault="0094307C" w:rsidP="008169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2C">
        <w:rPr>
          <w:rFonts w:ascii="Times New Roman" w:hAnsi="Times New Roman" w:cs="Times New Roman"/>
          <w:sz w:val="28"/>
          <w:szCs w:val="28"/>
        </w:rPr>
        <w:t>Проверку выполненных работ может проводить учитель</w:t>
      </w:r>
      <w:r w:rsidR="00193960">
        <w:rPr>
          <w:rFonts w:ascii="Times New Roman" w:hAnsi="Times New Roman" w:cs="Times New Roman"/>
          <w:sz w:val="28"/>
          <w:szCs w:val="28"/>
        </w:rPr>
        <w:t xml:space="preserve"> или сами обучающиеся</w:t>
      </w:r>
      <w:r w:rsidRPr="0081692C">
        <w:rPr>
          <w:rFonts w:ascii="Times New Roman" w:hAnsi="Times New Roman" w:cs="Times New Roman"/>
          <w:sz w:val="28"/>
          <w:szCs w:val="28"/>
        </w:rPr>
        <w:t xml:space="preserve"> (самоконтроль, взаимоконтроль).</w:t>
      </w:r>
    </w:p>
    <w:p w:rsidR="0094307C" w:rsidRPr="0094307C" w:rsidRDefault="0094307C" w:rsidP="0094307C">
      <w:pPr>
        <w:spacing w:after="12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21197" w:rsidRDefault="0081692C" w:rsidP="0002119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 была составлена</w:t>
      </w:r>
      <w:r w:rsidR="001A5687" w:rsidRPr="0094307C">
        <w:rPr>
          <w:color w:val="000000"/>
          <w:sz w:val="28"/>
          <w:szCs w:val="28"/>
        </w:rPr>
        <w:t xml:space="preserve"> </w:t>
      </w:r>
      <w:r w:rsidR="00D3673D" w:rsidRPr="0094307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амятка, которая </w:t>
      </w:r>
      <w:r w:rsidR="001A5687" w:rsidRPr="0094307C">
        <w:rPr>
          <w:color w:val="000000"/>
          <w:sz w:val="28"/>
          <w:szCs w:val="28"/>
        </w:rPr>
        <w:t>представляет собой некоторый комплект рекомендаций кадетам для более успешной и эффективной работы по усвоению и отработке учебн</w:t>
      </w:r>
      <w:r>
        <w:rPr>
          <w:color w:val="000000"/>
          <w:sz w:val="28"/>
          <w:szCs w:val="28"/>
        </w:rPr>
        <w:t>ого материала</w:t>
      </w:r>
      <w:r w:rsidR="001A5687" w:rsidRPr="0094307C">
        <w:rPr>
          <w:color w:val="000000"/>
          <w:sz w:val="28"/>
          <w:szCs w:val="28"/>
        </w:rPr>
        <w:t xml:space="preserve"> в часы самоподготовки. Рекомендации эти не являются сиюминутным «открытием», они собраны из разных источников и с учётом личного многолетнего опыта работы.</w:t>
      </w:r>
    </w:p>
    <w:p w:rsidR="00021197" w:rsidRDefault="00021197" w:rsidP="00021197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bookmarkStart w:id="0" w:name="chapter22"/>
      <w:bookmarkEnd w:id="0"/>
    </w:p>
    <w:p w:rsidR="001A5687" w:rsidRPr="001A5687" w:rsidRDefault="001A5687" w:rsidP="0002119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307C">
        <w:rPr>
          <w:b/>
          <w:bCs/>
          <w:color w:val="000000"/>
          <w:sz w:val="28"/>
          <w:szCs w:val="28"/>
        </w:rPr>
        <w:lastRenderedPageBreak/>
        <w:t>Как подготовиться к диктанту на английском языке</w:t>
      </w:r>
      <w:r w:rsidR="007E4490">
        <w:rPr>
          <w:b/>
          <w:bCs/>
          <w:color w:val="000000"/>
          <w:sz w:val="28"/>
          <w:szCs w:val="28"/>
        </w:rPr>
        <w:t>?</w:t>
      </w:r>
    </w:p>
    <w:p w:rsidR="001A5687" w:rsidRPr="001A5687" w:rsidRDefault="001A5687" w:rsidP="00D3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и переведите слова (к диктанту).</w:t>
      </w:r>
    </w:p>
    <w:p w:rsidR="001A5687" w:rsidRPr="001A5687" w:rsidRDefault="001A5687" w:rsidP="00D3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эти слова устно (с переводом). Научитесь их писать.</w:t>
      </w:r>
    </w:p>
    <w:p w:rsidR="001A5687" w:rsidRPr="001A5687" w:rsidRDefault="001A5687" w:rsidP="00D3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и научитесь писать слова, которые похожи на русские слова, например,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doctor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hockey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687" w:rsidRPr="001A5687" w:rsidRDefault="001A5687" w:rsidP="00D3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и выучите те слова, которые похожи на уже знакомые вам английские слова, например,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worker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timetable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proofErr w:type="spellEnd"/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5687" w:rsidRPr="001A5687" w:rsidRDefault="001A5687" w:rsidP="00D3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соответствует ли написание правилам чтения английских букв или нет. Сначала выучите те слова, которые читаются и пишутся по правилам, затем исключения.</w:t>
      </w:r>
    </w:p>
    <w:p w:rsidR="001A5687" w:rsidRPr="001A5687" w:rsidRDefault="001A5687" w:rsidP="00D367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научиться правильно писать слово, надо написать его не менее 30 раз, проговаривая его вслух.</w:t>
      </w:r>
    </w:p>
    <w:p w:rsidR="00873F15" w:rsidRPr="0094307C" w:rsidRDefault="00D3673D" w:rsidP="00D367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Диктант — одна из основных форм проверки орфографической и пунктуационной</w:t>
      </w:r>
      <w:r w:rsidR="00816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грамотности. Для диктантов используются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лексические единицы, либо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связные тексты, которые отвечают нормам современного </w:t>
      </w:r>
      <w:r w:rsidR="0081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английского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языка, доступные по содержанию </w:t>
      </w:r>
      <w:r w:rsidR="00193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кадетам данного взвода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Объём диктанта устанавливается: для </w:t>
      </w:r>
      <w:r w:rsidR="0081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класса — 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10–12 слов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(5-6 предл</w:t>
      </w:r>
      <w:r w:rsidR="00370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ожений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8 класса — 12–15 слов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(7-8 предл</w:t>
      </w:r>
      <w:r w:rsidR="00370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ожений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9 класса — 15–17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(9-10 предл</w:t>
      </w:r>
      <w:r w:rsidR="00370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ожений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10–11 классов — 17–20 слов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(11-12 предл</w:t>
      </w:r>
      <w:r w:rsidR="00370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ожений</w:t>
      </w:r>
      <w:r w:rsidR="007E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3673D" w:rsidRPr="00D3673D" w:rsidRDefault="00D3673D" w:rsidP="00D367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оценке контрольного словарного диктанта оценивание проводится следующим образом:</w:t>
      </w:r>
    </w:p>
    <w:p w:rsidR="00D3673D" w:rsidRPr="00D3673D" w:rsidRDefault="00D3673D" w:rsidP="00D36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«пять» ставится за диктант, в котором нет ошибок.</w:t>
      </w:r>
    </w:p>
    <w:p w:rsidR="00D3673D" w:rsidRPr="00D3673D" w:rsidRDefault="00D3673D" w:rsidP="00D36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«четыре» ставится за диктант, в котором допущено 1–2 ошибки.</w:t>
      </w:r>
    </w:p>
    <w:p w:rsidR="00D3673D" w:rsidRPr="00D3673D" w:rsidRDefault="00D3673D" w:rsidP="00D36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«три» ставится за диктант, в котором допущено 3–4 ошибки.</w:t>
      </w:r>
    </w:p>
    <w:p w:rsidR="00A746BF" w:rsidRPr="008D635A" w:rsidRDefault="00D3673D" w:rsidP="008D6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большем количестве ошибок диктант оценивается баллом «два»</w:t>
      </w:r>
      <w:r w:rsidR="00A4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6BF" w:rsidRDefault="001305A4" w:rsidP="00A746B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6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</w:t>
      </w:r>
    </w:p>
    <w:p w:rsidR="001305A4" w:rsidRPr="00A746BF" w:rsidRDefault="001305A4" w:rsidP="00A746B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6B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диктантов по английскому языку в 9-х классах</w:t>
      </w:r>
    </w:p>
    <w:p w:rsidR="001305A4" w:rsidRPr="00A746BF" w:rsidRDefault="001305A4" w:rsidP="00A746B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6B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A746B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746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746B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746BF">
        <w:rPr>
          <w:rFonts w:ascii="Times New Roman" w:hAnsi="Times New Roman" w:cs="Times New Roman"/>
          <w:color w:val="000000"/>
          <w:sz w:val="28"/>
          <w:szCs w:val="28"/>
        </w:rPr>
        <w:t xml:space="preserve"> четверть 2012 – 2013 учебного года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85"/>
        <w:gridCol w:w="1367"/>
        <w:gridCol w:w="868"/>
        <w:gridCol w:w="1097"/>
        <w:gridCol w:w="800"/>
        <w:gridCol w:w="800"/>
        <w:gridCol w:w="823"/>
        <w:gridCol w:w="800"/>
        <w:gridCol w:w="854"/>
      </w:tblGrid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Писало 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color w:val="000000"/>
                <w:sz w:val="28"/>
                <w:szCs w:val="28"/>
              </w:rPr>
              <w:t>кач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FE35B6" w:rsidRPr="001A0BDC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FE35B6" w:rsidRPr="001A0BDC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E35B6" w:rsidRPr="001A0BDC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7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E35B6" w:rsidRPr="001A0BDC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7" w:type="dxa"/>
          </w:tcPr>
          <w:p w:rsidR="00FE35B6" w:rsidRDefault="00FE35B6" w:rsidP="00FE35B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</w:t>
            </w:r>
          </w:p>
        </w:tc>
      </w:tr>
      <w:tr w:rsidR="00FE35B6" w:rsidTr="00FE35B6">
        <w:tc>
          <w:tcPr>
            <w:tcW w:w="485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FE35B6" w:rsidRPr="001A0BDC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68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7" w:type="dxa"/>
          </w:tcPr>
          <w:p w:rsidR="00FE35B6" w:rsidRDefault="00FE35B6" w:rsidP="00FE35B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0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FE35B6" w:rsidRDefault="00FE35B6" w:rsidP="00A746B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</w:tbl>
    <w:p w:rsidR="00135B4A" w:rsidRPr="002D1AB8" w:rsidRDefault="001A6C57" w:rsidP="00A746BF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кадетов 9а и 9б классов за 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D1AB8" w:rsidRP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D1AB8" w:rsidRP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 2012-2013 учебного года.</w:t>
      </w:r>
    </w:p>
    <w:p w:rsidR="008E2D50" w:rsidRDefault="008E2D50" w:rsidP="00A746BF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7B8A" w:rsidRPr="009318F8" w:rsidRDefault="006C7B8A" w:rsidP="0093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8A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работа, проведённая с кадетами после контрольного диктанта за </w:t>
      </w:r>
      <w:r w:rsidRPr="006C7B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7B8A">
        <w:rPr>
          <w:rFonts w:ascii="Times New Roman" w:hAnsi="Times New Roman" w:cs="Times New Roman"/>
          <w:sz w:val="28"/>
          <w:szCs w:val="28"/>
        </w:rPr>
        <w:t xml:space="preserve"> четверть и работа над текущими диктантами, привела к улучшению всех показателей.</w:t>
      </w:r>
      <w:r w:rsidR="009318F8">
        <w:rPr>
          <w:rFonts w:ascii="Times New Roman" w:hAnsi="Times New Roman" w:cs="Times New Roman"/>
          <w:sz w:val="28"/>
          <w:szCs w:val="28"/>
        </w:rPr>
        <w:t xml:space="preserve"> Но эти показатели не будут расти, если на самоподготовке кадеты не будут развивать свои навыки письма.</w:t>
      </w:r>
    </w:p>
    <w:p w:rsidR="00A66B6D" w:rsidRPr="0094307C" w:rsidRDefault="00A66B6D" w:rsidP="00A66B6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307C">
        <w:rPr>
          <w:color w:val="000000"/>
          <w:sz w:val="28"/>
          <w:szCs w:val="28"/>
        </w:rPr>
        <w:t xml:space="preserve">Задача кадета состоит в том, чтобы с первых дней пребывания в </w:t>
      </w:r>
      <w:r w:rsidR="008D635A">
        <w:rPr>
          <w:color w:val="000000"/>
          <w:sz w:val="28"/>
          <w:szCs w:val="28"/>
        </w:rPr>
        <w:t>к</w:t>
      </w:r>
      <w:r w:rsidRPr="0094307C">
        <w:rPr>
          <w:color w:val="000000"/>
          <w:sz w:val="28"/>
          <w:szCs w:val="28"/>
        </w:rPr>
        <w:t>орпусе начать формировать такие качества, как чёткость, точность, исполнительность, целеустремлённость, самостоятельность, что позволит ему стать впоследствии высокоорганизованным специалистом, а для офицера эти качества и вовсе являются основополагающими</w:t>
      </w:r>
      <w:proofErr w:type="gramStart"/>
      <w:r w:rsidRPr="0094307C">
        <w:rPr>
          <w:color w:val="000000"/>
          <w:sz w:val="28"/>
          <w:szCs w:val="28"/>
        </w:rPr>
        <w:t>.</w:t>
      </w:r>
      <w:proofErr w:type="gramEnd"/>
      <w:r w:rsidR="00B22D29">
        <w:rPr>
          <w:color w:val="000000"/>
          <w:sz w:val="28"/>
          <w:szCs w:val="28"/>
        </w:rPr>
        <w:t xml:space="preserve"> Задача преподавателя – оказать помощь кадету в формировании этих качеств.</w:t>
      </w:r>
    </w:p>
    <w:p w:rsidR="00A66B6D" w:rsidRDefault="00A66B6D" w:rsidP="00A66B6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307C">
        <w:rPr>
          <w:color w:val="000000"/>
          <w:sz w:val="28"/>
          <w:szCs w:val="28"/>
        </w:rPr>
        <w:t xml:space="preserve">Непременным условием успеха в этой работе являются высокая организованность </w:t>
      </w:r>
      <w:r w:rsidR="00B35951">
        <w:rPr>
          <w:color w:val="000000"/>
          <w:sz w:val="28"/>
          <w:szCs w:val="28"/>
        </w:rPr>
        <w:t>самих кадетов</w:t>
      </w:r>
      <w:r w:rsidR="00B22D29">
        <w:rPr>
          <w:color w:val="000000"/>
          <w:sz w:val="28"/>
          <w:szCs w:val="28"/>
        </w:rPr>
        <w:t xml:space="preserve"> и </w:t>
      </w:r>
      <w:r w:rsidRPr="0094307C">
        <w:rPr>
          <w:color w:val="000000"/>
          <w:sz w:val="28"/>
          <w:szCs w:val="28"/>
        </w:rPr>
        <w:t xml:space="preserve"> систематический самостоятельный контроль выполнения заданий.</w:t>
      </w:r>
    </w:p>
    <w:p w:rsidR="003477F4" w:rsidRDefault="003477F4" w:rsidP="0034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6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477F4" w:rsidRPr="003477F4" w:rsidRDefault="003477F4" w:rsidP="0034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7AB" w:rsidRDefault="0036005A" w:rsidP="003477F4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hyperlink r:id="rId8" w:history="1">
        <w:r w:rsidR="007107AB" w:rsidRPr="003477F4">
          <w:rPr>
            <w:rStyle w:val="a5"/>
            <w:rFonts w:ascii="Times New Roman" w:hAnsi="Times New Roman" w:cs="Times New Roman"/>
            <w:color w:val="000000" w:themeColor="text1"/>
            <w:sz w:val="32"/>
            <w:szCs w:val="28"/>
          </w:rPr>
          <w:t>http://www.profile-edu.ru/</w:t>
        </w:r>
      </w:hyperlink>
    </w:p>
    <w:p w:rsidR="007107AB" w:rsidRDefault="0036005A" w:rsidP="00D3673D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hyperlink r:id="rId9" w:tgtFrame="_blank" w:history="1">
        <w:r w:rsidR="007107AB" w:rsidRPr="003477F4">
          <w:rPr>
            <w:rStyle w:val="a5"/>
            <w:rFonts w:ascii="Times New Roman" w:hAnsi="Times New Roman" w:cs="Times New Roman"/>
            <w:color w:val="000000" w:themeColor="text1"/>
            <w:sz w:val="32"/>
            <w:szCs w:val="28"/>
            <w:shd w:val="clear" w:color="auto" w:fill="FFFFFF"/>
            <w:lang w:val="en-US"/>
          </w:rPr>
          <w:t>conference.osu.ru</w:t>
        </w:r>
      </w:hyperlink>
      <w:r w:rsidR="007107AB" w:rsidRPr="003477F4">
        <w:rPr>
          <w:rStyle w:val="b-serp-urlmark"/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  <w:lang w:val="en-US"/>
        </w:rPr>
        <w:t>›</w:t>
      </w:r>
      <w:r w:rsidR="007107AB" w:rsidRPr="003477F4">
        <w:rPr>
          <w:rFonts w:ascii="Times New Roman" w:hAnsi="Times New Roman" w:cs="Times New Roman"/>
          <w:color w:val="000000" w:themeColor="text1"/>
          <w:sz w:val="32"/>
          <w:szCs w:val="28"/>
          <w:lang w:val="en-US"/>
        </w:rPr>
        <w:t xml:space="preserve"> </w:t>
      </w:r>
    </w:p>
    <w:p w:rsidR="007107AB" w:rsidRPr="0036005A" w:rsidRDefault="007107AB" w:rsidP="007107A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36005A">
        <w:rPr>
          <w:rFonts w:ascii="Times New Roman" w:hAnsi="Times New Roman" w:cs="Times New Roman"/>
          <w:sz w:val="28"/>
          <w:szCs w:val="28"/>
        </w:rPr>
        <w:t>Петронюк</w:t>
      </w:r>
      <w:proofErr w:type="spellEnd"/>
      <w:r w:rsidRPr="0036005A">
        <w:rPr>
          <w:rFonts w:ascii="Times New Roman" w:hAnsi="Times New Roman" w:cs="Times New Roman"/>
          <w:sz w:val="28"/>
          <w:szCs w:val="28"/>
        </w:rPr>
        <w:t> И.С.  О</w:t>
      </w:r>
      <w:r w:rsidR="00653AFC" w:rsidRPr="0036005A">
        <w:rPr>
          <w:rFonts w:ascii="Times New Roman" w:hAnsi="Times New Roman" w:cs="Times New Roman"/>
          <w:szCs w:val="28"/>
        </w:rPr>
        <w:t>СОБЕННОСТИ СОЦИАЛИЗАЦИИ ПОДРОСТКОВ В УСЛОВИЯХ КАДЕТСКОГО КОРПУСА</w:t>
      </w:r>
    </w:p>
    <w:p w:rsidR="003477F4" w:rsidRPr="003477F4" w:rsidRDefault="0036005A" w:rsidP="007107A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3477F4" w:rsidRPr="003477F4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stgeorgecadet.org</w:t>
        </w:r>
      </w:hyperlink>
      <w:r w:rsidR="003477F4" w:rsidRPr="003477F4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1" w:tgtFrame="_blank" w:history="1">
        <w:r w:rsidR="003477F4" w:rsidRPr="003477F4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Ustav/SAMOPODGOTOVKA.htm</w:t>
        </w:r>
      </w:hyperlink>
    </w:p>
    <w:p w:rsidR="007107AB" w:rsidRPr="007107AB" w:rsidRDefault="007107AB" w:rsidP="00D3673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7107AB" w:rsidRPr="007107AB" w:rsidSect="0087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7D"/>
    <w:multiLevelType w:val="multilevel"/>
    <w:tmpl w:val="6606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203FB"/>
    <w:multiLevelType w:val="hybridMultilevel"/>
    <w:tmpl w:val="16C6E7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D0DB0"/>
    <w:multiLevelType w:val="multilevel"/>
    <w:tmpl w:val="79D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C7756"/>
    <w:multiLevelType w:val="hybridMultilevel"/>
    <w:tmpl w:val="D070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409"/>
    <w:multiLevelType w:val="multilevel"/>
    <w:tmpl w:val="8FD0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687"/>
    <w:rsid w:val="00021197"/>
    <w:rsid w:val="00047A8E"/>
    <w:rsid w:val="00071815"/>
    <w:rsid w:val="000F0932"/>
    <w:rsid w:val="000F53BD"/>
    <w:rsid w:val="001305A4"/>
    <w:rsid w:val="00135B4A"/>
    <w:rsid w:val="00193960"/>
    <w:rsid w:val="001A0BDC"/>
    <w:rsid w:val="001A2C55"/>
    <w:rsid w:val="001A5687"/>
    <w:rsid w:val="001A6C57"/>
    <w:rsid w:val="001F7D2D"/>
    <w:rsid w:val="002813D9"/>
    <w:rsid w:val="002D1AB8"/>
    <w:rsid w:val="002F3968"/>
    <w:rsid w:val="003477F4"/>
    <w:rsid w:val="0036005A"/>
    <w:rsid w:val="00370C34"/>
    <w:rsid w:val="00653AFC"/>
    <w:rsid w:val="006C7B8A"/>
    <w:rsid w:val="007107AB"/>
    <w:rsid w:val="00737B4F"/>
    <w:rsid w:val="007E4490"/>
    <w:rsid w:val="0081692C"/>
    <w:rsid w:val="00873F15"/>
    <w:rsid w:val="008D635A"/>
    <w:rsid w:val="008E2D50"/>
    <w:rsid w:val="009318F8"/>
    <w:rsid w:val="0094307C"/>
    <w:rsid w:val="00A424CD"/>
    <w:rsid w:val="00A66B6D"/>
    <w:rsid w:val="00A746BF"/>
    <w:rsid w:val="00B22D29"/>
    <w:rsid w:val="00B35951"/>
    <w:rsid w:val="00B96CF1"/>
    <w:rsid w:val="00BC0F85"/>
    <w:rsid w:val="00D3673D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15"/>
  </w:style>
  <w:style w:type="paragraph" w:styleId="1">
    <w:name w:val="heading 1"/>
    <w:basedOn w:val="a"/>
    <w:next w:val="a"/>
    <w:link w:val="10"/>
    <w:uiPriority w:val="9"/>
    <w:qFormat/>
    <w:rsid w:val="00710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687"/>
    <w:rPr>
      <w:b/>
      <w:bCs/>
    </w:rPr>
  </w:style>
  <w:style w:type="character" w:styleId="a5">
    <w:name w:val="Hyperlink"/>
    <w:basedOn w:val="a0"/>
    <w:uiPriority w:val="99"/>
    <w:unhideWhenUsed/>
    <w:rsid w:val="001A56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3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305A4"/>
    <w:pPr>
      <w:ind w:left="720"/>
      <w:contextualSpacing/>
    </w:pPr>
  </w:style>
  <w:style w:type="table" w:styleId="a7">
    <w:name w:val="Table Grid"/>
    <w:basedOn w:val="a1"/>
    <w:rsid w:val="00A7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D50"/>
    <w:rPr>
      <w:rFonts w:ascii="Tahoma" w:hAnsi="Tahoma" w:cs="Tahoma"/>
      <w:sz w:val="16"/>
      <w:szCs w:val="16"/>
    </w:rPr>
  </w:style>
  <w:style w:type="character" w:customStyle="1" w:styleId="b-serp-urlmark">
    <w:name w:val="b-serp-url__mark"/>
    <w:basedOn w:val="a0"/>
    <w:rsid w:val="007107AB"/>
  </w:style>
  <w:style w:type="character" w:customStyle="1" w:styleId="10">
    <w:name w:val="Заголовок 1 Знак"/>
    <w:basedOn w:val="a0"/>
    <w:link w:val="1"/>
    <w:uiPriority w:val="9"/>
    <w:rsid w:val="00710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georgecadet.org/Ustav/SAMOPODGOTOVKA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georgecad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ference.osu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36.800000000000004</c:v>
                </c:pt>
                <c:pt idx="2">
                  <c:v>31.6</c:v>
                </c:pt>
                <c:pt idx="3">
                  <c:v>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05728"/>
        <c:axId val="81775424"/>
      </c:barChart>
      <c:catAx>
        <c:axId val="10490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775424"/>
        <c:crosses val="autoZero"/>
        <c:auto val="1"/>
        <c:lblAlgn val="ctr"/>
        <c:lblOffset val="100"/>
        <c:noMultiLvlLbl val="0"/>
      </c:catAx>
      <c:valAx>
        <c:axId val="8177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90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E6DD-5F68-46C0-B0D3-2E686E35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Зифа</dc:creator>
  <cp:lastModifiedBy>cn=Антоненко Елена Рашитовна</cp:lastModifiedBy>
  <cp:revision>25</cp:revision>
  <dcterms:created xsi:type="dcterms:W3CDTF">2013-01-12T13:42:00Z</dcterms:created>
  <dcterms:modified xsi:type="dcterms:W3CDTF">2013-01-18T10:50:00Z</dcterms:modified>
</cp:coreProperties>
</file>