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BC4" w:rsidRDefault="00124370">
      <w:pPr>
        <w:rPr>
          <w:rFonts w:ascii="Times New Roman" w:hAnsi="Times New Roman" w:cs="Times New Roman"/>
          <w:b/>
          <w:sz w:val="28"/>
          <w:szCs w:val="28"/>
        </w:rPr>
      </w:pPr>
      <w:r>
        <w:rPr>
          <w:rFonts w:ascii="Times New Roman" w:hAnsi="Times New Roman" w:cs="Times New Roman"/>
          <w:b/>
          <w:sz w:val="28"/>
          <w:szCs w:val="28"/>
        </w:rPr>
        <w:t xml:space="preserve">    Психология гендерного подхода к развитию музыкального потенциала  учащихся  ДШИ.</w:t>
      </w:r>
    </w:p>
    <w:p w:rsidR="00124370" w:rsidRDefault="00124370">
      <w:pPr>
        <w:rPr>
          <w:rFonts w:ascii="Times New Roman" w:hAnsi="Times New Roman" w:cs="Times New Roman"/>
          <w:sz w:val="28"/>
          <w:szCs w:val="28"/>
        </w:rPr>
      </w:pPr>
      <w:r>
        <w:rPr>
          <w:rFonts w:ascii="Times New Roman" w:hAnsi="Times New Roman" w:cs="Times New Roman"/>
          <w:sz w:val="28"/>
          <w:szCs w:val="28"/>
        </w:rPr>
        <w:t xml:space="preserve">  В образовании курс на дифференциацию обучения школьников на основе гендерного подхода целесообразен, важен и актуален.</w:t>
      </w:r>
    </w:p>
    <w:p w:rsidR="00124370" w:rsidRDefault="00124370" w:rsidP="00124370">
      <w:pPr>
        <w:rPr>
          <w:rFonts w:ascii="Times New Roman" w:hAnsi="Times New Roman" w:cs="Times New Roman"/>
          <w:sz w:val="28"/>
          <w:szCs w:val="28"/>
        </w:rPr>
      </w:pPr>
      <w:r>
        <w:rPr>
          <w:rFonts w:ascii="Times New Roman" w:hAnsi="Times New Roman" w:cs="Times New Roman"/>
          <w:sz w:val="28"/>
          <w:szCs w:val="28"/>
        </w:rPr>
        <w:t xml:space="preserve">  Термин «</w:t>
      </w:r>
      <w:proofErr w:type="spellStart"/>
      <w:r>
        <w:rPr>
          <w:rFonts w:ascii="Times New Roman" w:hAnsi="Times New Roman" w:cs="Times New Roman"/>
          <w:sz w:val="28"/>
          <w:szCs w:val="28"/>
        </w:rPr>
        <w:t>Gender</w:t>
      </w:r>
      <w:proofErr w:type="spellEnd"/>
      <w:r>
        <w:rPr>
          <w:rFonts w:ascii="Times New Roman" w:hAnsi="Times New Roman" w:cs="Times New Roman"/>
          <w:sz w:val="28"/>
          <w:szCs w:val="28"/>
        </w:rPr>
        <w:t>» означает  «социальный пол» в отличи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от «биологического пола». Гендерный подход в целом предполагает, что различиях в моделях поведения, мышления и восприятия девочек и мальчиков определяется не только психофизиологическими  особенностями, но и социальными факторами, социальными ожиданиям</w:t>
      </w:r>
      <w:r w:rsidR="0023039C">
        <w:rPr>
          <w:rFonts w:ascii="Times New Roman" w:hAnsi="Times New Roman" w:cs="Times New Roman"/>
          <w:sz w:val="28"/>
          <w:szCs w:val="28"/>
        </w:rPr>
        <w:t>и</w:t>
      </w:r>
      <w:r>
        <w:rPr>
          <w:rFonts w:ascii="Times New Roman" w:hAnsi="Times New Roman" w:cs="Times New Roman"/>
          <w:sz w:val="28"/>
          <w:szCs w:val="28"/>
        </w:rPr>
        <w:t xml:space="preserve">. </w:t>
      </w:r>
    </w:p>
    <w:p w:rsidR="00124370" w:rsidRDefault="00124370" w:rsidP="00124370">
      <w:pPr>
        <w:rPr>
          <w:rFonts w:ascii="Times New Roman" w:hAnsi="Times New Roman" w:cs="Times New Roman"/>
          <w:sz w:val="28"/>
          <w:szCs w:val="28"/>
        </w:rPr>
      </w:pPr>
      <w:r>
        <w:rPr>
          <w:rFonts w:ascii="Times New Roman" w:hAnsi="Times New Roman" w:cs="Times New Roman"/>
          <w:sz w:val="28"/>
          <w:szCs w:val="28"/>
        </w:rPr>
        <w:t xml:space="preserve">   Главное – надо постоянно помнить, что дети – это не однородная безликая масса, каждый из них индивидуальность и каждый – либо мальчик, либо девочка. От требований, предъявляемых школой, зависят не только школьные успехи, но и становление личности в целом. </w:t>
      </w:r>
    </w:p>
    <w:p w:rsidR="00BE4637" w:rsidRDefault="00985346" w:rsidP="00124370">
      <w:pPr>
        <w:rPr>
          <w:rFonts w:ascii="Times New Roman" w:hAnsi="Times New Roman" w:cs="Times New Roman"/>
          <w:sz w:val="28"/>
          <w:szCs w:val="28"/>
        </w:rPr>
      </w:pPr>
      <w:r>
        <w:rPr>
          <w:rFonts w:ascii="Times New Roman" w:hAnsi="Times New Roman" w:cs="Times New Roman"/>
          <w:sz w:val="28"/>
          <w:szCs w:val="28"/>
        </w:rPr>
        <w:t xml:space="preserve">    Современными психологами проводилось немало исследований гендерного направления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школьниками, обучающиеся на исполнительских отделениях основных инструментальных специальностей (фортепианный, струнный, народный, духовой) музыкальных школ. Основной акцент исследований был сделан на обнаруженных гендерных особенностях проявления индивидуальности музыкально одаренных учащихся. Оказалось, что структура музыкальности у учащихся младшего, подросткового и юношеского возраста качественно своеобразны.   Музыкальное своеобразие представляет собой сочетание музыкальных способностей, а также свойств личности, темперамента и нервной системы. Полученные результаты позволили описать психологический портрет музыкальности одаренных школьников на разных этапах онтогенеза:</w:t>
      </w:r>
    </w:p>
    <w:tbl>
      <w:tblPr>
        <w:tblStyle w:val="a7"/>
        <w:tblW w:w="0" w:type="auto"/>
        <w:tblLook w:val="04A0"/>
      </w:tblPr>
      <w:tblGrid>
        <w:gridCol w:w="4785"/>
        <w:gridCol w:w="4785"/>
      </w:tblGrid>
      <w:tr w:rsidR="00985346" w:rsidTr="00985346">
        <w:tc>
          <w:tcPr>
            <w:tcW w:w="9570" w:type="dxa"/>
            <w:gridSpan w:val="2"/>
          </w:tcPr>
          <w:p w:rsidR="00985346" w:rsidRDefault="00985346" w:rsidP="00985346">
            <w:pPr>
              <w:jc w:val="center"/>
              <w:rPr>
                <w:rFonts w:ascii="Times New Roman" w:hAnsi="Times New Roman" w:cs="Times New Roman"/>
                <w:sz w:val="28"/>
                <w:szCs w:val="28"/>
              </w:rPr>
            </w:pPr>
            <w:r>
              <w:rPr>
                <w:rFonts w:ascii="Times New Roman" w:hAnsi="Times New Roman" w:cs="Times New Roman"/>
                <w:sz w:val="28"/>
                <w:szCs w:val="28"/>
              </w:rPr>
              <w:t>Младший школьный возраст</w:t>
            </w:r>
          </w:p>
        </w:tc>
      </w:tr>
      <w:tr w:rsidR="00985346" w:rsidTr="00BE4637">
        <w:trPr>
          <w:trHeight w:val="1957"/>
        </w:trPr>
        <w:tc>
          <w:tcPr>
            <w:tcW w:w="4785" w:type="dxa"/>
          </w:tcPr>
          <w:p w:rsidR="00985346" w:rsidRDefault="00985346" w:rsidP="00985346">
            <w:pPr>
              <w:jc w:val="center"/>
              <w:rPr>
                <w:rFonts w:ascii="Times New Roman" w:hAnsi="Times New Roman" w:cs="Times New Roman"/>
                <w:sz w:val="28"/>
                <w:szCs w:val="28"/>
              </w:rPr>
            </w:pPr>
            <w:r>
              <w:rPr>
                <w:rFonts w:ascii="Times New Roman" w:hAnsi="Times New Roman" w:cs="Times New Roman"/>
                <w:sz w:val="28"/>
                <w:szCs w:val="28"/>
              </w:rPr>
              <w:t>Девочки</w:t>
            </w:r>
          </w:p>
          <w:p w:rsidR="00985346" w:rsidRDefault="00985346" w:rsidP="0023039C">
            <w:pPr>
              <w:rPr>
                <w:rFonts w:ascii="Times New Roman" w:hAnsi="Times New Roman" w:cs="Times New Roman"/>
                <w:sz w:val="28"/>
                <w:szCs w:val="28"/>
              </w:rPr>
            </w:pPr>
            <w:r>
              <w:rPr>
                <w:rFonts w:ascii="Times New Roman" w:hAnsi="Times New Roman" w:cs="Times New Roman"/>
                <w:sz w:val="28"/>
                <w:szCs w:val="28"/>
              </w:rPr>
              <w:t>-активизация правого полушария мозга;</w:t>
            </w:r>
          </w:p>
          <w:p w:rsidR="00985346" w:rsidRDefault="00985346" w:rsidP="0023039C">
            <w:pPr>
              <w:rPr>
                <w:rFonts w:ascii="Times New Roman" w:hAnsi="Times New Roman" w:cs="Times New Roman"/>
                <w:sz w:val="28"/>
                <w:szCs w:val="28"/>
              </w:rPr>
            </w:pPr>
            <w:r>
              <w:rPr>
                <w:rFonts w:ascii="Times New Roman" w:hAnsi="Times New Roman" w:cs="Times New Roman"/>
                <w:sz w:val="28"/>
                <w:szCs w:val="28"/>
              </w:rPr>
              <w:t>- эмоциональность;</w:t>
            </w:r>
          </w:p>
          <w:p w:rsidR="00985346" w:rsidRDefault="00985346" w:rsidP="0023039C">
            <w:pPr>
              <w:rPr>
                <w:rFonts w:ascii="Times New Roman" w:hAnsi="Times New Roman" w:cs="Times New Roman"/>
                <w:sz w:val="28"/>
                <w:szCs w:val="28"/>
              </w:rPr>
            </w:pPr>
            <w:r>
              <w:rPr>
                <w:rFonts w:ascii="Times New Roman" w:hAnsi="Times New Roman" w:cs="Times New Roman"/>
                <w:sz w:val="28"/>
                <w:szCs w:val="28"/>
              </w:rPr>
              <w:t>-экспрессивность;</w:t>
            </w:r>
          </w:p>
          <w:p w:rsidR="00985346" w:rsidRDefault="00985346" w:rsidP="0023039C">
            <w:pPr>
              <w:rPr>
                <w:rFonts w:ascii="Times New Roman" w:hAnsi="Times New Roman" w:cs="Times New Roman"/>
                <w:sz w:val="28"/>
                <w:szCs w:val="28"/>
              </w:rPr>
            </w:pPr>
            <w:r>
              <w:rPr>
                <w:rFonts w:ascii="Times New Roman" w:hAnsi="Times New Roman" w:cs="Times New Roman"/>
                <w:sz w:val="28"/>
                <w:szCs w:val="28"/>
              </w:rPr>
              <w:t>-интонационный музыкальный слух</w:t>
            </w:r>
          </w:p>
        </w:tc>
        <w:tc>
          <w:tcPr>
            <w:tcW w:w="4785" w:type="dxa"/>
          </w:tcPr>
          <w:p w:rsidR="00985346" w:rsidRDefault="00985346" w:rsidP="00985346">
            <w:pPr>
              <w:jc w:val="center"/>
              <w:rPr>
                <w:rFonts w:ascii="Times New Roman" w:hAnsi="Times New Roman" w:cs="Times New Roman"/>
                <w:sz w:val="28"/>
                <w:szCs w:val="28"/>
              </w:rPr>
            </w:pPr>
            <w:r>
              <w:rPr>
                <w:rFonts w:ascii="Times New Roman" w:hAnsi="Times New Roman" w:cs="Times New Roman"/>
                <w:sz w:val="28"/>
                <w:szCs w:val="28"/>
              </w:rPr>
              <w:t>Мальчики</w:t>
            </w:r>
          </w:p>
          <w:p w:rsidR="00BE4637" w:rsidRDefault="00BE4637" w:rsidP="0023039C">
            <w:pPr>
              <w:rPr>
                <w:rFonts w:ascii="Times New Roman" w:hAnsi="Times New Roman" w:cs="Times New Roman"/>
                <w:sz w:val="28"/>
                <w:szCs w:val="28"/>
              </w:rPr>
            </w:pPr>
            <w:r>
              <w:rPr>
                <w:rFonts w:ascii="Times New Roman" w:hAnsi="Times New Roman" w:cs="Times New Roman"/>
                <w:sz w:val="28"/>
                <w:szCs w:val="28"/>
              </w:rPr>
              <w:t>-активизация левого полушария мозга;</w:t>
            </w:r>
          </w:p>
          <w:p w:rsidR="00985346" w:rsidRDefault="00985346" w:rsidP="0023039C">
            <w:pPr>
              <w:rPr>
                <w:rFonts w:ascii="Times New Roman" w:hAnsi="Times New Roman" w:cs="Times New Roman"/>
                <w:sz w:val="28"/>
                <w:szCs w:val="28"/>
              </w:rPr>
            </w:pPr>
            <w:r>
              <w:rPr>
                <w:rFonts w:ascii="Times New Roman" w:hAnsi="Times New Roman" w:cs="Times New Roman"/>
                <w:sz w:val="28"/>
                <w:szCs w:val="28"/>
              </w:rPr>
              <w:t>-развитие аналитических способностей, несущих в себе элементы точной науки;</w:t>
            </w:r>
          </w:p>
          <w:p w:rsidR="00985346" w:rsidRDefault="00985346" w:rsidP="0023039C">
            <w:pPr>
              <w:rPr>
                <w:rFonts w:ascii="Times New Roman" w:hAnsi="Times New Roman" w:cs="Times New Roman"/>
                <w:sz w:val="28"/>
                <w:szCs w:val="28"/>
              </w:rPr>
            </w:pPr>
            <w:r>
              <w:rPr>
                <w:rFonts w:ascii="Times New Roman" w:hAnsi="Times New Roman" w:cs="Times New Roman"/>
                <w:sz w:val="28"/>
                <w:szCs w:val="28"/>
              </w:rPr>
              <w:t>-</w:t>
            </w:r>
            <w:r w:rsidR="00BE4637">
              <w:rPr>
                <w:rFonts w:ascii="Times New Roman" w:hAnsi="Times New Roman" w:cs="Times New Roman"/>
                <w:sz w:val="28"/>
                <w:szCs w:val="28"/>
              </w:rPr>
              <w:t>эмоциональная стабильность</w:t>
            </w:r>
          </w:p>
        </w:tc>
      </w:tr>
      <w:tr w:rsidR="00BE4637" w:rsidTr="00BE4637">
        <w:tc>
          <w:tcPr>
            <w:tcW w:w="9570" w:type="dxa"/>
            <w:gridSpan w:val="2"/>
          </w:tcPr>
          <w:p w:rsidR="00BE4637" w:rsidRDefault="00BE4637" w:rsidP="00BE4637">
            <w:pPr>
              <w:jc w:val="center"/>
              <w:rPr>
                <w:rFonts w:ascii="Times New Roman" w:hAnsi="Times New Roman" w:cs="Times New Roman"/>
                <w:sz w:val="28"/>
                <w:szCs w:val="28"/>
              </w:rPr>
            </w:pPr>
            <w:r>
              <w:rPr>
                <w:rFonts w:ascii="Times New Roman" w:hAnsi="Times New Roman" w:cs="Times New Roman"/>
                <w:sz w:val="28"/>
                <w:szCs w:val="28"/>
              </w:rPr>
              <w:t>Подростковый возраст</w:t>
            </w:r>
          </w:p>
        </w:tc>
      </w:tr>
      <w:tr w:rsidR="00BE4637" w:rsidTr="00BE4637">
        <w:tc>
          <w:tcPr>
            <w:tcW w:w="4785" w:type="dxa"/>
          </w:tcPr>
          <w:p w:rsidR="00BE4637" w:rsidRDefault="00BE4637" w:rsidP="0023039C">
            <w:pPr>
              <w:rPr>
                <w:rFonts w:ascii="Times New Roman" w:hAnsi="Times New Roman" w:cs="Times New Roman"/>
                <w:sz w:val="28"/>
                <w:szCs w:val="28"/>
              </w:rPr>
            </w:pPr>
            <w:r>
              <w:rPr>
                <w:rFonts w:ascii="Times New Roman" w:hAnsi="Times New Roman" w:cs="Times New Roman"/>
                <w:sz w:val="28"/>
                <w:szCs w:val="28"/>
              </w:rPr>
              <w:t>-выраженность интеллекта и музыкальной памяти;</w:t>
            </w:r>
          </w:p>
          <w:p w:rsidR="00BE4637" w:rsidRDefault="00BE4637" w:rsidP="0023039C">
            <w:pPr>
              <w:rPr>
                <w:rFonts w:ascii="Times New Roman" w:hAnsi="Times New Roman" w:cs="Times New Roman"/>
                <w:sz w:val="28"/>
                <w:szCs w:val="28"/>
              </w:rPr>
            </w:pPr>
            <w:r>
              <w:rPr>
                <w:rFonts w:ascii="Times New Roman" w:hAnsi="Times New Roman" w:cs="Times New Roman"/>
                <w:sz w:val="28"/>
                <w:szCs w:val="28"/>
              </w:rPr>
              <w:t>-развитие интонационных способностей</w:t>
            </w:r>
          </w:p>
        </w:tc>
        <w:tc>
          <w:tcPr>
            <w:tcW w:w="4785" w:type="dxa"/>
          </w:tcPr>
          <w:p w:rsidR="00BE4637" w:rsidRDefault="00BE4637" w:rsidP="0023039C">
            <w:pPr>
              <w:rPr>
                <w:rFonts w:ascii="Times New Roman" w:hAnsi="Times New Roman" w:cs="Times New Roman"/>
                <w:sz w:val="28"/>
                <w:szCs w:val="28"/>
              </w:rPr>
            </w:pPr>
            <w:r>
              <w:rPr>
                <w:rFonts w:ascii="Times New Roman" w:hAnsi="Times New Roman" w:cs="Times New Roman"/>
                <w:sz w:val="28"/>
                <w:szCs w:val="28"/>
              </w:rPr>
              <w:t>-творческая активность;</w:t>
            </w:r>
          </w:p>
          <w:p w:rsidR="00BE4637" w:rsidRDefault="00BE4637" w:rsidP="0023039C">
            <w:pPr>
              <w:rPr>
                <w:rFonts w:ascii="Times New Roman" w:hAnsi="Times New Roman" w:cs="Times New Roman"/>
                <w:sz w:val="28"/>
                <w:szCs w:val="28"/>
              </w:rPr>
            </w:pPr>
            <w:r>
              <w:rPr>
                <w:rFonts w:ascii="Times New Roman" w:hAnsi="Times New Roman" w:cs="Times New Roman"/>
                <w:sz w:val="28"/>
                <w:szCs w:val="28"/>
              </w:rPr>
              <w:t>-сила подвижности нервной системы определяет ритмическую способность</w:t>
            </w:r>
          </w:p>
        </w:tc>
      </w:tr>
      <w:tr w:rsidR="00BE4637" w:rsidTr="00BE4637">
        <w:tc>
          <w:tcPr>
            <w:tcW w:w="9570" w:type="dxa"/>
            <w:gridSpan w:val="2"/>
          </w:tcPr>
          <w:p w:rsidR="00BE4637" w:rsidRDefault="00BE4637" w:rsidP="00BE4637">
            <w:pPr>
              <w:jc w:val="center"/>
              <w:rPr>
                <w:rFonts w:ascii="Times New Roman" w:hAnsi="Times New Roman" w:cs="Times New Roman"/>
                <w:sz w:val="28"/>
                <w:szCs w:val="28"/>
              </w:rPr>
            </w:pPr>
            <w:r>
              <w:rPr>
                <w:rFonts w:ascii="Times New Roman" w:hAnsi="Times New Roman" w:cs="Times New Roman"/>
                <w:sz w:val="28"/>
                <w:szCs w:val="28"/>
              </w:rPr>
              <w:lastRenderedPageBreak/>
              <w:t>Юношеский возраст</w:t>
            </w:r>
          </w:p>
        </w:tc>
      </w:tr>
      <w:tr w:rsidR="00BE4637" w:rsidTr="00BE4637">
        <w:tc>
          <w:tcPr>
            <w:tcW w:w="4785" w:type="dxa"/>
          </w:tcPr>
          <w:p w:rsidR="00BE4637" w:rsidRDefault="00BE4637" w:rsidP="0023039C">
            <w:pPr>
              <w:rPr>
                <w:rFonts w:ascii="Times New Roman" w:hAnsi="Times New Roman" w:cs="Times New Roman"/>
                <w:sz w:val="28"/>
                <w:szCs w:val="28"/>
              </w:rPr>
            </w:pPr>
            <w:r>
              <w:rPr>
                <w:rFonts w:ascii="Times New Roman" w:hAnsi="Times New Roman" w:cs="Times New Roman"/>
                <w:sz w:val="28"/>
                <w:szCs w:val="28"/>
              </w:rPr>
              <w:t>-практичность, реалистичность;</w:t>
            </w:r>
          </w:p>
          <w:p w:rsidR="00BE4637" w:rsidRDefault="00BE4637" w:rsidP="0023039C">
            <w:pPr>
              <w:rPr>
                <w:rFonts w:ascii="Times New Roman" w:hAnsi="Times New Roman" w:cs="Times New Roman"/>
                <w:sz w:val="28"/>
                <w:szCs w:val="28"/>
              </w:rPr>
            </w:pPr>
            <w:r>
              <w:rPr>
                <w:rFonts w:ascii="Times New Roman" w:hAnsi="Times New Roman" w:cs="Times New Roman"/>
                <w:sz w:val="28"/>
                <w:szCs w:val="28"/>
              </w:rPr>
              <w:t>-более подвижны к расширению и «считыванию» содержательных параметров музыки;</w:t>
            </w:r>
          </w:p>
          <w:p w:rsidR="00BE4637" w:rsidRDefault="00BE4637" w:rsidP="0023039C">
            <w:pPr>
              <w:rPr>
                <w:rFonts w:ascii="Times New Roman" w:hAnsi="Times New Roman" w:cs="Times New Roman"/>
                <w:sz w:val="28"/>
                <w:szCs w:val="28"/>
              </w:rPr>
            </w:pPr>
            <w:r>
              <w:rPr>
                <w:rFonts w:ascii="Times New Roman" w:hAnsi="Times New Roman" w:cs="Times New Roman"/>
                <w:sz w:val="28"/>
                <w:szCs w:val="28"/>
              </w:rPr>
              <w:t xml:space="preserve">-высокие показатели абстрактного мышления </w:t>
            </w:r>
          </w:p>
        </w:tc>
        <w:tc>
          <w:tcPr>
            <w:tcW w:w="4785" w:type="dxa"/>
          </w:tcPr>
          <w:p w:rsidR="0023039C" w:rsidRDefault="00BE4637" w:rsidP="0023039C">
            <w:pPr>
              <w:rPr>
                <w:rFonts w:ascii="Times New Roman" w:hAnsi="Times New Roman" w:cs="Times New Roman"/>
                <w:sz w:val="28"/>
                <w:szCs w:val="28"/>
              </w:rPr>
            </w:pPr>
            <w:r>
              <w:rPr>
                <w:rFonts w:ascii="Times New Roman" w:hAnsi="Times New Roman" w:cs="Times New Roman"/>
                <w:sz w:val="28"/>
                <w:szCs w:val="28"/>
              </w:rPr>
              <w:t>-практическое мышление</w:t>
            </w:r>
            <w:r w:rsidR="0023039C">
              <w:rPr>
                <w:rFonts w:ascii="Times New Roman" w:hAnsi="Times New Roman" w:cs="Times New Roman"/>
                <w:sz w:val="28"/>
                <w:szCs w:val="28"/>
              </w:rPr>
              <w:t>;</w:t>
            </w:r>
          </w:p>
          <w:p w:rsidR="0023039C" w:rsidRDefault="0023039C" w:rsidP="0023039C">
            <w:pPr>
              <w:rPr>
                <w:rFonts w:ascii="Times New Roman" w:hAnsi="Times New Roman" w:cs="Times New Roman"/>
                <w:sz w:val="28"/>
                <w:szCs w:val="28"/>
              </w:rPr>
            </w:pPr>
            <w:r>
              <w:rPr>
                <w:rFonts w:ascii="Times New Roman" w:hAnsi="Times New Roman" w:cs="Times New Roman"/>
                <w:sz w:val="28"/>
                <w:szCs w:val="28"/>
              </w:rPr>
              <w:t>-абстрактное мышление;</w:t>
            </w:r>
          </w:p>
          <w:p w:rsidR="00BE4637" w:rsidRDefault="0023039C" w:rsidP="0023039C">
            <w:pPr>
              <w:rPr>
                <w:rFonts w:ascii="Times New Roman" w:hAnsi="Times New Roman" w:cs="Times New Roman"/>
                <w:sz w:val="28"/>
                <w:szCs w:val="28"/>
              </w:rPr>
            </w:pPr>
            <w:r>
              <w:rPr>
                <w:rFonts w:ascii="Times New Roman" w:hAnsi="Times New Roman" w:cs="Times New Roman"/>
                <w:sz w:val="28"/>
                <w:szCs w:val="28"/>
              </w:rPr>
              <w:t>-</w:t>
            </w:r>
            <w:r w:rsidR="00BE4637">
              <w:rPr>
                <w:rFonts w:ascii="Times New Roman" w:hAnsi="Times New Roman" w:cs="Times New Roman"/>
                <w:sz w:val="28"/>
                <w:szCs w:val="28"/>
              </w:rPr>
              <w:t xml:space="preserve"> мечтатель</w:t>
            </w:r>
          </w:p>
          <w:p w:rsidR="00BE4637" w:rsidRDefault="00BE4637" w:rsidP="00BE4637">
            <w:pPr>
              <w:jc w:val="center"/>
              <w:rPr>
                <w:rFonts w:ascii="Times New Roman" w:hAnsi="Times New Roman" w:cs="Times New Roman"/>
                <w:sz w:val="28"/>
                <w:szCs w:val="28"/>
              </w:rPr>
            </w:pPr>
          </w:p>
        </w:tc>
      </w:tr>
    </w:tbl>
    <w:p w:rsidR="00985346" w:rsidRPr="00124370" w:rsidRDefault="00985346" w:rsidP="00124370">
      <w:pPr>
        <w:rPr>
          <w:rFonts w:ascii="Times New Roman" w:hAnsi="Times New Roman" w:cs="Times New Roman"/>
          <w:sz w:val="28"/>
          <w:szCs w:val="28"/>
        </w:rPr>
      </w:pPr>
    </w:p>
    <w:p w:rsidR="00124370" w:rsidRDefault="0023039C">
      <w:pPr>
        <w:rPr>
          <w:rFonts w:ascii="Times New Roman" w:hAnsi="Times New Roman" w:cs="Times New Roman"/>
          <w:sz w:val="28"/>
          <w:szCs w:val="28"/>
        </w:rPr>
      </w:pPr>
      <w:r>
        <w:rPr>
          <w:rFonts w:ascii="Times New Roman" w:hAnsi="Times New Roman" w:cs="Times New Roman"/>
          <w:sz w:val="28"/>
          <w:szCs w:val="28"/>
        </w:rPr>
        <w:t xml:space="preserve">  Изучив современную психолого-педагогическую литературу, я пришла к выводу, что обучение музыкантов должно вестись с учетом не только возрастных особенностей становления их личности и одаренности, но и в соответствии с логикой становления их гендерной идентичности. </w:t>
      </w:r>
    </w:p>
    <w:p w:rsidR="0023039C" w:rsidRDefault="0023039C">
      <w:pPr>
        <w:rPr>
          <w:rFonts w:ascii="Times New Roman" w:hAnsi="Times New Roman" w:cs="Times New Roman"/>
          <w:sz w:val="28"/>
          <w:szCs w:val="28"/>
        </w:rPr>
      </w:pPr>
      <w:r>
        <w:rPr>
          <w:rFonts w:ascii="Times New Roman" w:hAnsi="Times New Roman" w:cs="Times New Roman"/>
          <w:sz w:val="28"/>
          <w:szCs w:val="28"/>
        </w:rPr>
        <w:t xml:space="preserve">  Полагаю, что полученные результаты исследования в рамках гендерного подхода послужат более полному развитию их музыкальных способностей, необходимых для успешной музыкально</w:t>
      </w:r>
      <w:r w:rsidR="00506C28">
        <w:rPr>
          <w:rFonts w:ascii="Times New Roman" w:hAnsi="Times New Roman" w:cs="Times New Roman"/>
          <w:sz w:val="28"/>
          <w:szCs w:val="28"/>
        </w:rPr>
        <w:t xml:space="preserve"> </w:t>
      </w:r>
      <w:r>
        <w:rPr>
          <w:rFonts w:ascii="Times New Roman" w:hAnsi="Times New Roman" w:cs="Times New Roman"/>
          <w:sz w:val="28"/>
          <w:szCs w:val="28"/>
        </w:rPr>
        <w:t>- исполнительской деятельности, позволят создать научную базу для разработки программ психологического сопровождения и системы поддержки детской одаренности.</w:t>
      </w:r>
    </w:p>
    <w:p w:rsidR="0023039C" w:rsidRDefault="0023039C">
      <w:pPr>
        <w:rPr>
          <w:rFonts w:ascii="Times New Roman" w:hAnsi="Times New Roman" w:cs="Times New Roman"/>
          <w:sz w:val="28"/>
          <w:szCs w:val="28"/>
        </w:rPr>
      </w:pPr>
    </w:p>
    <w:p w:rsidR="0023039C" w:rsidRDefault="0023039C">
      <w:pPr>
        <w:rPr>
          <w:rFonts w:ascii="Times New Roman" w:hAnsi="Times New Roman" w:cs="Times New Roman"/>
          <w:b/>
          <w:sz w:val="28"/>
          <w:szCs w:val="28"/>
        </w:rPr>
      </w:pPr>
      <w:r w:rsidRPr="0023039C">
        <w:rPr>
          <w:rFonts w:ascii="Times New Roman" w:hAnsi="Times New Roman" w:cs="Times New Roman"/>
          <w:b/>
          <w:sz w:val="28"/>
          <w:szCs w:val="28"/>
        </w:rPr>
        <w:t>Литература.</w:t>
      </w:r>
    </w:p>
    <w:p w:rsidR="0023039C" w:rsidRDefault="0023039C" w:rsidP="0023039C">
      <w:pPr>
        <w:pStyle w:val="a8"/>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Скрипник</w:t>
      </w:r>
      <w:proofErr w:type="spellEnd"/>
      <w:r>
        <w:rPr>
          <w:rFonts w:ascii="Times New Roman" w:hAnsi="Times New Roman" w:cs="Times New Roman"/>
          <w:sz w:val="28"/>
          <w:szCs w:val="28"/>
        </w:rPr>
        <w:t xml:space="preserve"> Н.М. Минусы бесполой педагогики</w:t>
      </w:r>
      <w:r w:rsidR="00506C28">
        <w:rPr>
          <w:rFonts w:ascii="Times New Roman" w:hAnsi="Times New Roman" w:cs="Times New Roman"/>
          <w:sz w:val="28"/>
          <w:szCs w:val="28"/>
        </w:rPr>
        <w:t xml:space="preserve">. </w:t>
      </w:r>
      <w:proofErr w:type="spellStart"/>
      <w:r w:rsidR="00506C28">
        <w:rPr>
          <w:rFonts w:ascii="Times New Roman" w:hAnsi="Times New Roman" w:cs="Times New Roman"/>
          <w:sz w:val="28"/>
          <w:szCs w:val="28"/>
        </w:rPr>
        <w:t>Н.Скрипни</w:t>
      </w:r>
      <w:proofErr w:type="gramStart"/>
      <w:r w:rsidR="00506C28">
        <w:rPr>
          <w:rFonts w:ascii="Times New Roman" w:hAnsi="Times New Roman" w:cs="Times New Roman"/>
          <w:sz w:val="28"/>
          <w:szCs w:val="28"/>
        </w:rPr>
        <w:t>к</w:t>
      </w:r>
      <w:proofErr w:type="spellEnd"/>
      <w:r w:rsidR="00506C28">
        <w:rPr>
          <w:rFonts w:ascii="Times New Roman" w:hAnsi="Times New Roman" w:cs="Times New Roman"/>
          <w:sz w:val="28"/>
          <w:szCs w:val="28"/>
        </w:rPr>
        <w:t>-</w:t>
      </w:r>
      <w:proofErr w:type="gramEnd"/>
      <w:r w:rsidR="00506C28">
        <w:rPr>
          <w:rFonts w:ascii="Times New Roman" w:hAnsi="Times New Roman" w:cs="Times New Roman"/>
          <w:sz w:val="28"/>
          <w:szCs w:val="28"/>
        </w:rPr>
        <w:t xml:space="preserve"> Т.Лунева// Сельская школа 2002  №5 </w:t>
      </w:r>
    </w:p>
    <w:p w:rsidR="00506C28" w:rsidRDefault="00506C28" w:rsidP="0023039C">
      <w:pPr>
        <w:pStyle w:val="a8"/>
        <w:numPr>
          <w:ilvl w:val="0"/>
          <w:numId w:val="1"/>
        </w:numPr>
        <w:rPr>
          <w:rFonts w:ascii="Times New Roman" w:hAnsi="Times New Roman" w:cs="Times New Roman"/>
          <w:sz w:val="28"/>
          <w:szCs w:val="28"/>
        </w:rPr>
      </w:pPr>
      <w:r>
        <w:rPr>
          <w:rFonts w:ascii="Times New Roman" w:hAnsi="Times New Roman" w:cs="Times New Roman"/>
          <w:sz w:val="28"/>
          <w:szCs w:val="28"/>
        </w:rPr>
        <w:t>Ерофеева Н.В классе мальчики и девочки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Как их учить? Ерофеева Н.// Народное образование 2001 №2</w:t>
      </w:r>
    </w:p>
    <w:p w:rsidR="00506C28" w:rsidRDefault="00506C28" w:rsidP="0023039C">
      <w:pPr>
        <w:pStyle w:val="a8"/>
        <w:numPr>
          <w:ilvl w:val="0"/>
          <w:numId w:val="1"/>
        </w:numPr>
        <w:rPr>
          <w:rFonts w:ascii="Times New Roman" w:hAnsi="Times New Roman" w:cs="Times New Roman"/>
          <w:sz w:val="28"/>
          <w:szCs w:val="28"/>
        </w:rPr>
      </w:pPr>
      <w:r>
        <w:rPr>
          <w:rFonts w:ascii="Times New Roman" w:hAnsi="Times New Roman" w:cs="Times New Roman"/>
          <w:sz w:val="28"/>
          <w:szCs w:val="28"/>
        </w:rPr>
        <w:t>Сиротюк А. Дифференциация обучения на основе гендерного подхода. Сиротюк А.// Народное образование  2003 №8</w:t>
      </w:r>
    </w:p>
    <w:p w:rsidR="00506C28" w:rsidRDefault="00506C28" w:rsidP="0023039C">
      <w:pPr>
        <w:pStyle w:val="a8"/>
        <w:numPr>
          <w:ilvl w:val="0"/>
          <w:numId w:val="1"/>
        </w:numPr>
        <w:rPr>
          <w:rFonts w:ascii="Times New Roman" w:hAnsi="Times New Roman" w:cs="Times New Roman"/>
          <w:sz w:val="28"/>
          <w:szCs w:val="28"/>
        </w:rPr>
      </w:pPr>
      <w:r>
        <w:rPr>
          <w:rFonts w:ascii="Times New Roman" w:hAnsi="Times New Roman" w:cs="Times New Roman"/>
          <w:sz w:val="28"/>
          <w:szCs w:val="28"/>
        </w:rPr>
        <w:t>Дружинин В.Н. Психология общих способностей</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Пб.,2000</w:t>
      </w:r>
    </w:p>
    <w:p w:rsidR="00506C28" w:rsidRPr="0023039C" w:rsidRDefault="00506C28" w:rsidP="0023039C">
      <w:pPr>
        <w:pStyle w:val="a8"/>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Таллибулина</w:t>
      </w:r>
      <w:proofErr w:type="spellEnd"/>
      <w:r>
        <w:rPr>
          <w:rFonts w:ascii="Times New Roman" w:hAnsi="Times New Roman" w:cs="Times New Roman"/>
          <w:sz w:val="28"/>
          <w:szCs w:val="28"/>
        </w:rPr>
        <w:t xml:space="preserve"> М.Т. Гендерный подход в психологии музыкальной одаренности// Музыкальная психология и психотерапия: научно-методический журнал для музыкантов, психологов и психотерапевтов. Москва,5(8), 2008г.</w:t>
      </w:r>
    </w:p>
    <w:sectPr w:rsidR="00506C28" w:rsidRPr="0023039C" w:rsidSect="0012437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B17" w:rsidRDefault="00074B17" w:rsidP="00124370">
      <w:pPr>
        <w:spacing w:after="0" w:line="240" w:lineRule="auto"/>
      </w:pPr>
      <w:r>
        <w:separator/>
      </w:r>
    </w:p>
  </w:endnote>
  <w:endnote w:type="continuationSeparator" w:id="0">
    <w:p w:rsidR="00074B17" w:rsidRDefault="00074B17" w:rsidP="001243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B17" w:rsidRDefault="00074B17" w:rsidP="00124370">
      <w:pPr>
        <w:spacing w:after="0" w:line="240" w:lineRule="auto"/>
      </w:pPr>
      <w:r>
        <w:separator/>
      </w:r>
    </w:p>
  </w:footnote>
  <w:footnote w:type="continuationSeparator" w:id="0">
    <w:p w:rsidR="00074B17" w:rsidRDefault="00074B17" w:rsidP="001243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D13A4"/>
    <w:multiLevelType w:val="hybridMultilevel"/>
    <w:tmpl w:val="8BE0BB8C"/>
    <w:lvl w:ilvl="0" w:tplc="347A94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24370"/>
    <w:rsid w:val="00074B17"/>
    <w:rsid w:val="00124370"/>
    <w:rsid w:val="0023039C"/>
    <w:rsid w:val="00506C28"/>
    <w:rsid w:val="00985346"/>
    <w:rsid w:val="00AF1BC4"/>
    <w:rsid w:val="00BE46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B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437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24370"/>
  </w:style>
  <w:style w:type="paragraph" w:styleId="a5">
    <w:name w:val="footer"/>
    <w:basedOn w:val="a"/>
    <w:link w:val="a6"/>
    <w:uiPriority w:val="99"/>
    <w:semiHidden/>
    <w:unhideWhenUsed/>
    <w:rsid w:val="0012437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24370"/>
  </w:style>
  <w:style w:type="table" w:styleId="a7">
    <w:name w:val="Table Grid"/>
    <w:basedOn w:val="a1"/>
    <w:uiPriority w:val="59"/>
    <w:rsid w:val="009853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3039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19F001-7B0F-4EEB-86C4-EA8E9F349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513</Words>
  <Characters>2927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dc:creator>
  <cp:lastModifiedBy>Диана</cp:lastModifiedBy>
  <cp:revision>1</cp:revision>
  <dcterms:created xsi:type="dcterms:W3CDTF">2013-07-06T13:06:00Z</dcterms:created>
  <dcterms:modified xsi:type="dcterms:W3CDTF">2013-07-06T14:49:00Z</dcterms:modified>
</cp:coreProperties>
</file>