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7B" w:rsidRDefault="004F417B" w:rsidP="00BC2025">
      <w:pPr>
        <w:pStyle w:val="ConsPlusTitle"/>
        <w:widowControl/>
        <w:spacing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Toc305789589"/>
      <w:r w:rsidRPr="004F417B">
        <w:rPr>
          <w:rFonts w:ascii="Times New Roman" w:eastAsiaTheme="majorEastAsia" w:hAnsi="Times New Roman" w:cs="Times New Roman"/>
          <w:sz w:val="28"/>
          <w:szCs w:val="28"/>
        </w:rPr>
        <w:t>Внеклассная учебно-исследовательская деятельность как метод повышения качества знаний учащихся профессионального училища</w:t>
      </w:r>
    </w:p>
    <w:p w:rsidR="004F417B" w:rsidRDefault="004F417B" w:rsidP="00BC2025">
      <w:pPr>
        <w:pStyle w:val="ConsPlusTitle"/>
        <w:widowControl/>
        <w:spacing w:line="360" w:lineRule="auto"/>
        <w:ind w:firstLine="709"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4F417B">
        <w:rPr>
          <w:rFonts w:ascii="Times New Roman" w:eastAsiaTheme="majorEastAsia" w:hAnsi="Times New Roman" w:cs="Times New Roman"/>
          <w:b w:val="0"/>
          <w:sz w:val="28"/>
          <w:szCs w:val="28"/>
        </w:rPr>
        <w:t>Авторы: Базарбаева Р.Н., Борисенко И.А., Балкаева М.С.</w:t>
      </w:r>
    </w:p>
    <w:p w:rsidR="004F417B" w:rsidRPr="004F417B" w:rsidRDefault="004F417B" w:rsidP="00BC202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ajorEastAsia" w:hAnsi="Times New Roman" w:cs="Times New Roman"/>
          <w:b w:val="0"/>
          <w:sz w:val="28"/>
          <w:szCs w:val="28"/>
        </w:rPr>
        <w:t>ГОУ НПО Профессиональное училище №39</w:t>
      </w:r>
    </w:p>
    <w:p w:rsidR="00A91312" w:rsidRPr="00BC2025" w:rsidRDefault="00A91312" w:rsidP="00BC202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Цель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нашей работы:</w:t>
      </w:r>
      <w:r w:rsidR="00BC202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BC2025">
        <w:rPr>
          <w:rFonts w:ascii="Times New Roman" w:hAnsi="Times New Roman" w:cs="Times New Roman"/>
          <w:b w:val="0"/>
          <w:sz w:val="28"/>
          <w:szCs w:val="28"/>
        </w:rPr>
        <w:t>зучение влияния внеклассной учебно-исследовательской деятельности на повышение качества знаний учащихся профессионального училища.</w:t>
      </w:r>
      <w:bookmarkStart w:id="1" w:name="_Toc305789590"/>
    </w:p>
    <w:p w:rsidR="00A91312" w:rsidRDefault="00A91312" w:rsidP="00A91312">
      <w:pPr>
        <w:rPr>
          <w:rFonts w:cs="Times New Roman"/>
          <w:szCs w:val="28"/>
        </w:rPr>
      </w:pPr>
      <w:r>
        <w:rPr>
          <w:color w:val="000000" w:themeColor="text1"/>
        </w:rPr>
        <w:t>Задачи</w:t>
      </w:r>
      <w:bookmarkEnd w:id="1"/>
      <w:r>
        <w:rPr>
          <w:color w:val="000000" w:themeColor="text1"/>
        </w:rPr>
        <w:t>:</w:t>
      </w:r>
    </w:p>
    <w:p w:rsidR="00A91312" w:rsidRDefault="00A91312" w:rsidP="004F417B">
      <w:pPr>
        <w:pStyle w:val="a9"/>
        <w:numPr>
          <w:ilvl w:val="0"/>
          <w:numId w:val="14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особенности формирования устойчивой положительной интеллектуальной мотивации учащихся профессионального училища в обучении.</w:t>
      </w:r>
    </w:p>
    <w:p w:rsidR="00A91312" w:rsidRDefault="00A91312" w:rsidP="004F417B">
      <w:pPr>
        <w:pStyle w:val="a9"/>
        <w:numPr>
          <w:ilvl w:val="0"/>
          <w:numId w:val="14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Доказать эффективность метода учебно-исследовательской работы среди учащихся профессионального училища.</w:t>
      </w:r>
    </w:p>
    <w:p w:rsidR="00A91312" w:rsidRDefault="00A91312" w:rsidP="004F417B">
      <w:pPr>
        <w:pStyle w:val="a9"/>
        <w:numPr>
          <w:ilvl w:val="0"/>
          <w:numId w:val="14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Выявить значение непрерывной связи урочной и внеурочной деятельности учащихся в успешности освоения общеобразовательных и профессиональных компетенций.</w:t>
      </w:r>
    </w:p>
    <w:p w:rsidR="00A91312" w:rsidRDefault="00A91312" w:rsidP="00A91312">
      <w:pPr>
        <w:ind w:firstLine="0"/>
        <w:rPr>
          <w:rFonts w:cs="Times New Roman"/>
          <w:bCs/>
          <w:szCs w:val="28"/>
        </w:rPr>
      </w:pPr>
      <w:r>
        <w:t xml:space="preserve">      Основу НПО составляют, на наш взгляд, прежде всего инструментальные компетенции, важнейшими среди которых являются:</w:t>
      </w:r>
      <w:r>
        <w:rPr>
          <w:rFonts w:cs="Times New Roman"/>
          <w:bCs/>
          <w:szCs w:val="28"/>
        </w:rPr>
        <w:t xml:space="preserve"> базовые знания в различных областях, подготовка по основам профессиональных знаний, элементарные навыки работы с компьютером, навыки управления информацией</w:t>
      </w:r>
      <w:r w:rsidR="00BC2025">
        <w:rPr>
          <w:rFonts w:cs="Times New Roman"/>
          <w:bCs/>
          <w:szCs w:val="28"/>
        </w:rPr>
        <w:t>.</w:t>
      </w:r>
    </w:p>
    <w:p w:rsidR="00A91312" w:rsidRDefault="00A91312" w:rsidP="00A9131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чем же особенности формирования успешной положительной интеллектуальной мотивации учащихся профессионального училища в обучении? </w:t>
      </w:r>
    </w:p>
    <w:p w:rsidR="00A91312" w:rsidRDefault="00A91312" w:rsidP="00A9131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Анализ современной теории и практики начального профессионального образования указывает на противоречия, которые требуют разрешения:</w:t>
      </w:r>
    </w:p>
    <w:p w:rsidR="00A91312" w:rsidRDefault="00A91312" w:rsidP="004F417B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между требованиями, предъявляемыми к познавательной активности будущего рабочего и ее реальным уровнем;</w:t>
      </w:r>
    </w:p>
    <w:p w:rsidR="00A91312" w:rsidRDefault="00A91312" w:rsidP="004F417B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между потребностью в высококвалифицированных специалистах, обладающих высоким уровнем познавательной активности и </w:t>
      </w:r>
      <w:r>
        <w:rPr>
          <w:sz w:val="28"/>
          <w:szCs w:val="28"/>
        </w:rPr>
        <w:lastRenderedPageBreak/>
        <w:t>недостаточной научно-методической разработанностью путей и средств ее целенаправленного формирования в рамках образовательного процесса в ПУ. [</w:t>
      </w:r>
      <w:r w:rsidR="00FD6ADF">
        <w:rPr>
          <w:sz w:val="28"/>
          <w:szCs w:val="28"/>
        </w:rPr>
        <w:t>1</w:t>
      </w:r>
      <w:r>
        <w:rPr>
          <w:sz w:val="28"/>
          <w:szCs w:val="28"/>
        </w:rPr>
        <w:t>]</w:t>
      </w:r>
    </w:p>
    <w:p w:rsidR="00A91312" w:rsidRDefault="00A91312" w:rsidP="004F417B">
      <w:pPr>
        <w:pStyle w:val="a4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Это объясняется тем, что система НПО, «обучает и воспитывает специфический контингент учащихся, многие из которых представляют социально неблагополучные, маргинальные слои населения» </w:t>
      </w:r>
    </w:p>
    <w:p w:rsidR="00A91312" w:rsidRDefault="00A91312" w:rsidP="00A91312">
      <w:pPr>
        <w:rPr>
          <w:rFonts w:cs="Times New Roman"/>
          <w:szCs w:val="28"/>
        </w:rPr>
      </w:pPr>
      <w:r>
        <w:rPr>
          <w:rFonts w:cs="Times New Roman"/>
          <w:szCs w:val="28"/>
        </w:rPr>
        <w:t>Основные методы побуждения положительной устойчивой интеллектуальной мотивации к учебной деятельности учащихся профессионального училища состоит в создании ярких наглядно-образных представлений, создании проблемной ситуации, коллективных формах учебной деятельности, оценке учебной деятельности, использовании технологии исследовательского обучения, применении компьютерных технологий.</w:t>
      </w:r>
    </w:p>
    <w:p w:rsidR="00A91312" w:rsidRDefault="00A91312" w:rsidP="00A91312">
      <w:pPr>
        <w:rPr>
          <w:rFonts w:cs="Times New Roman"/>
          <w:szCs w:val="28"/>
        </w:rPr>
      </w:pPr>
      <w:r>
        <w:rPr>
          <w:rFonts w:cs="Times New Roman"/>
          <w:bCs/>
          <w:szCs w:val="28"/>
        </w:rPr>
        <w:t>Технология исследовательского обучения - особая форма организации обучения,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исследования.</w:t>
      </w:r>
    </w:p>
    <w:p w:rsidR="00A91312" w:rsidRDefault="00A91312" w:rsidP="00A9131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Это предполагает «самостоятельность, способность принимать ответственные решения, творческий подход к любому делу, умение доводить его до конца, умение постоянно учиться»[7], оперативно осваивать новшества и быстро адаптироваться к изменяющимся условиям производства. Мобильность, творческий характер труда зависят от широты кругозора, осмысления и развития тех проблем, с которыми человек сталкивается в своей практике, а также видение и понимание перспектив производства. Поэтому необходимо учитывать не только то, что знает учащийся сегодня, но и что он сможет узнать завтра.</w:t>
      </w:r>
    </w:p>
    <w:p w:rsidR="00A91312" w:rsidRDefault="00A91312" w:rsidP="00A9131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успешного формирования положительной мотивации к учению необходимо формирование трех компонентов – интеллектуального, эмоционального, волевого – на протяжении всего периода обучения в </w:t>
      </w:r>
      <w:r>
        <w:rPr>
          <w:sz w:val="28"/>
          <w:szCs w:val="28"/>
        </w:rPr>
        <w:lastRenderedPageBreak/>
        <w:t>училище. При этом через совершенствование одного из компонентов развиваются два другие.</w:t>
      </w:r>
    </w:p>
    <w:p w:rsidR="00A91312" w:rsidRDefault="00A91312" w:rsidP="00A9131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Методом анкетирования были определены </w:t>
      </w:r>
      <w:r w:rsidR="00BC2025">
        <w:rPr>
          <w:rFonts w:eastAsia="Times New Roman" w:cs="Times New Roman"/>
          <w:szCs w:val="28"/>
          <w:lang w:eastAsia="ru-RU"/>
        </w:rPr>
        <w:t xml:space="preserve">нами </w:t>
      </w:r>
      <w:r>
        <w:rPr>
          <w:rFonts w:eastAsia="Times New Roman" w:cs="Times New Roman"/>
          <w:szCs w:val="28"/>
          <w:lang w:eastAsia="ru-RU"/>
        </w:rPr>
        <w:t xml:space="preserve">группы учащихся </w:t>
      </w:r>
      <w:proofErr w:type="spellStart"/>
      <w:r>
        <w:rPr>
          <w:rFonts w:eastAsia="Times New Roman" w:cs="Times New Roman"/>
          <w:szCs w:val="28"/>
          <w:lang w:eastAsia="ru-RU"/>
        </w:rPr>
        <w:t>низкомотивированных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 общеобразовательных предметах, а именно – история, химия, информатика. </w:t>
      </w:r>
    </w:p>
    <w:p w:rsidR="00A91312" w:rsidRDefault="00A91312" w:rsidP="00A9131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диагностическом анкетировании приняли участие 75 человек </w:t>
      </w:r>
      <w:r>
        <w:rPr>
          <w:rFonts w:cs="Times New Roman"/>
          <w:szCs w:val="28"/>
        </w:rPr>
        <w:br/>
        <w:t>(1 курс). Целью его являлось выявить степень актуальности получаемого полного среднего (общего) образования, важности своей профессии, готовности использовать информационное пространство.</w:t>
      </w:r>
    </w:p>
    <w:p w:rsidR="00A91312" w:rsidRDefault="00A91312" w:rsidP="00A9131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Диагностическое анкетирование включало в себя следующие вопросы: </w:t>
      </w:r>
    </w:p>
    <w:p w:rsidR="00A91312" w:rsidRDefault="00A91312" w:rsidP="00A91312">
      <w:pPr>
        <w:pStyle w:val="a9"/>
        <w:numPr>
          <w:ilvl w:val="0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Какую роль играет профессия «Судоводитель» в обществе и экономике нашего региона?</w:t>
      </w:r>
    </w:p>
    <w:p w:rsidR="00A91312" w:rsidRDefault="00A91312" w:rsidP="00A91312">
      <w:pPr>
        <w:pStyle w:val="a9"/>
        <w:numPr>
          <w:ilvl w:val="0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Какую роль играют знания химии в профессии «Судоводитель»?</w:t>
      </w:r>
    </w:p>
    <w:p w:rsidR="00A91312" w:rsidRDefault="00A91312" w:rsidP="00A91312">
      <w:pPr>
        <w:pStyle w:val="a9"/>
        <w:numPr>
          <w:ilvl w:val="0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Имели ли Вы опыт исследовательской деятельности в школе?</w:t>
      </w:r>
    </w:p>
    <w:p w:rsidR="00A91312" w:rsidRDefault="00A91312" w:rsidP="00A91312">
      <w:pPr>
        <w:pStyle w:val="a9"/>
        <w:numPr>
          <w:ilvl w:val="0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Назовите известные вам способы поиска информации?</w:t>
      </w:r>
    </w:p>
    <w:p w:rsidR="00A91312" w:rsidRDefault="00A91312" w:rsidP="00A91312">
      <w:pPr>
        <w:pStyle w:val="a9"/>
        <w:numPr>
          <w:ilvl w:val="0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proofErr w:type="gramStart"/>
      <w:r>
        <w:rPr>
          <w:lang w:eastAsia="ru-RU"/>
        </w:rPr>
        <w:t>Считаете ли вы что внеклассная научно-исследовательская деятельность поможет</w:t>
      </w:r>
      <w:proofErr w:type="gramEnd"/>
      <w:r>
        <w:rPr>
          <w:lang w:eastAsia="ru-RU"/>
        </w:rPr>
        <w:t xml:space="preserve"> вам повысить качество знаний по истории, химии, информатике?</w:t>
      </w:r>
    </w:p>
    <w:p w:rsidR="00A91312" w:rsidRDefault="00A91312" w:rsidP="00A91312">
      <w:pPr>
        <w:ind w:firstLine="0"/>
        <w:rPr>
          <w:lang w:eastAsia="ru-RU"/>
        </w:rPr>
      </w:pPr>
      <w:r>
        <w:rPr>
          <w:lang w:eastAsia="ru-RU"/>
        </w:rPr>
        <w:t>Результаты анкетирования представлены в диаграмме:</w:t>
      </w:r>
    </w:p>
    <w:p w:rsidR="00A91312" w:rsidRDefault="00A91312" w:rsidP="00D05E82">
      <w:pPr>
        <w:pStyle w:val="a9"/>
        <w:ind w:left="709" w:firstLine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93192" cy="2380423"/>
            <wp:effectExtent l="19050" t="0" r="21708" b="827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1312" w:rsidRDefault="00A91312" w:rsidP="00A9131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Низкая мотивация обучения общеобразовательных предметов учащихся профессионального училища часто приводит к невысокому </w:t>
      </w:r>
      <w:r>
        <w:rPr>
          <w:rFonts w:cs="Times New Roman"/>
          <w:szCs w:val="28"/>
        </w:rPr>
        <w:lastRenderedPageBreak/>
        <w:t xml:space="preserve">качеству знаний. Современный метод учебно-исследовательской деятельности способен решить данную проблему образования. </w:t>
      </w:r>
    </w:p>
    <w:p w:rsidR="00A91312" w:rsidRDefault="00A91312" w:rsidP="00A91312">
      <w:pPr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Используя классический метод учебно-исследовательской деятельности в профессиональном училище мы преследовали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следующие цели:</w:t>
      </w:r>
    </w:p>
    <w:p w:rsidR="00A91312" w:rsidRDefault="00A91312" w:rsidP="004F417B">
      <w:pPr>
        <w:pStyle w:val="a9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научить учащихся самостоятельно достигать намеченные цели;</w:t>
      </w:r>
    </w:p>
    <w:p w:rsidR="00A91312" w:rsidRDefault="00A91312" w:rsidP="004F417B">
      <w:pPr>
        <w:pStyle w:val="a9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научить учащихся предвидеть мини-проблемы, которые могут возникнуть на пути достижения цели;</w:t>
      </w:r>
    </w:p>
    <w:p w:rsidR="00A91312" w:rsidRDefault="00A91312" w:rsidP="004F417B">
      <w:pPr>
        <w:pStyle w:val="a9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сформировать у учащихся умение работать с информацией (поиск источников, технология работы с информацией);</w:t>
      </w:r>
    </w:p>
    <w:p w:rsidR="00A91312" w:rsidRDefault="00A91312" w:rsidP="004F417B">
      <w:pPr>
        <w:pStyle w:val="a9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сформировать у учащихся навыки проведения исследований, передачи и презентации полученных знаний и опыта; навыки работы и делового общения в группе.</w:t>
      </w:r>
    </w:p>
    <w:p w:rsidR="00A91312" w:rsidRDefault="00A91312" w:rsidP="00D05E82">
      <w:pPr>
        <w:ind w:firstLine="567"/>
        <w:rPr>
          <w:rFonts w:eastAsia="Times New Roman" w:cs="Times New Roman"/>
          <w:szCs w:val="28"/>
          <w:lang w:eastAsia="ru-RU"/>
        </w:rPr>
      </w:pPr>
      <w:r>
        <w:t>Для повышения интеллектуальной мотивации и качества знаний нами был разработан междисциплинарный кружок «Речное училище в лицах, событиях и перспективах». На занятиях кружка были определены направления учебно-исследовательской деятельности учащихся в области истории и химии с применением информационных технологий.</w:t>
      </w:r>
    </w:p>
    <w:p w:rsidR="00A91312" w:rsidRDefault="00A91312" w:rsidP="00A91312">
      <w:pPr>
        <w:ind w:firstLine="567"/>
        <w:rPr>
          <w:szCs w:val="28"/>
        </w:rPr>
      </w:pPr>
      <w:r>
        <w:rPr>
          <w:rFonts w:eastAsia="Calibri" w:cs="Times New Roman"/>
          <w:szCs w:val="28"/>
        </w:rPr>
        <w:t xml:space="preserve">Целями </w:t>
      </w:r>
      <w:r>
        <w:rPr>
          <w:szCs w:val="28"/>
        </w:rPr>
        <w:t>внеклассной работы кружка являлись</w:t>
      </w:r>
      <w:r>
        <w:rPr>
          <w:rFonts w:eastAsia="Calibri" w:cs="Times New Roman"/>
          <w:szCs w:val="28"/>
        </w:rPr>
        <w:t xml:space="preserve"> поэтапное изучение истории училища</w:t>
      </w:r>
      <w:r>
        <w:rPr>
          <w:szCs w:val="28"/>
        </w:rPr>
        <w:t xml:space="preserve">, </w:t>
      </w:r>
      <w:r>
        <w:rPr>
          <w:rFonts w:cs="Times New Roman"/>
          <w:szCs w:val="28"/>
        </w:rPr>
        <w:t>факторов судоходства, способов предотвращения и мер борьбы с загрязнениями в акватории Волги, используя метод теоретического документального исследования, овладение и совершенствование методов научного поиска, сохранения и передачи информации широкой аудитории. Участники кружка были распределены на «рабочие» группы по темам «</w:t>
      </w:r>
      <w:r>
        <w:rPr>
          <w:rFonts w:eastAsia="Calibri" w:cs="Times New Roman"/>
          <w:szCs w:val="28"/>
        </w:rPr>
        <w:t>Саратовское речное училище: события и люди</w:t>
      </w:r>
      <w:r>
        <w:rPr>
          <w:rFonts w:cs="Times New Roman"/>
          <w:szCs w:val="28"/>
        </w:rPr>
        <w:t>» и «Влияние судоходства на акваторию Волги», «Информационные технологии в профессии «Судоводитель».</w:t>
      </w:r>
    </w:p>
    <w:p w:rsidR="00A91312" w:rsidRDefault="00A91312" w:rsidP="00A91312">
      <w:pPr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Для достижения этих целей необходимо было решить несколько задач:</w:t>
      </w:r>
    </w:p>
    <w:p w:rsidR="00A91312" w:rsidRDefault="00A91312" w:rsidP="00A91312">
      <w:pPr>
        <w:numPr>
          <w:ilvl w:val="0"/>
          <w:numId w:val="8"/>
        </w:num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Собрать материал (источники, архивные документы, фотографии) по интересующей теме;</w:t>
      </w:r>
    </w:p>
    <w:p w:rsidR="00A91312" w:rsidRDefault="00A91312" w:rsidP="00A91312">
      <w:pPr>
        <w:numPr>
          <w:ilvl w:val="0"/>
          <w:numId w:val="8"/>
        </w:num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Проанализировать и систематизировать собранные данные;</w:t>
      </w:r>
    </w:p>
    <w:p w:rsidR="00A91312" w:rsidRDefault="00A91312" w:rsidP="00A91312">
      <w:pPr>
        <w:numPr>
          <w:ilvl w:val="0"/>
          <w:numId w:val="8"/>
        </w:num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Обсудить полученные результаты;</w:t>
      </w:r>
    </w:p>
    <w:p w:rsidR="00A91312" w:rsidRDefault="00A91312" w:rsidP="00A91312">
      <w:pPr>
        <w:numPr>
          <w:ilvl w:val="0"/>
          <w:numId w:val="8"/>
        </w:num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Сформулировать выводы проделанной работы;</w:t>
      </w:r>
    </w:p>
    <w:p w:rsidR="00A91312" w:rsidRPr="006A001C" w:rsidRDefault="00A91312" w:rsidP="00A91312">
      <w:pPr>
        <w:numPr>
          <w:ilvl w:val="0"/>
          <w:numId w:val="8"/>
        </w:numPr>
        <w:rPr>
          <w:rFonts w:eastAsia="Calibri" w:cs="Times New Roman"/>
          <w:szCs w:val="28"/>
        </w:rPr>
      </w:pPr>
      <w:r w:rsidRPr="006A001C">
        <w:rPr>
          <w:rFonts w:eastAsia="Calibri" w:cs="Times New Roman"/>
          <w:szCs w:val="28"/>
        </w:rPr>
        <w:t>Создание презентаций и представление их на уроках истории, химии, информатики, на научно-технических чтениях.</w:t>
      </w:r>
    </w:p>
    <w:p w:rsidR="00A91312" w:rsidRDefault="00A91312" w:rsidP="00A91312">
      <w:pPr>
        <w:rPr>
          <w:szCs w:val="28"/>
        </w:rPr>
      </w:pPr>
      <w:r>
        <w:rPr>
          <w:rFonts w:eastAsia="Calibri" w:cs="Times New Roman"/>
          <w:szCs w:val="28"/>
        </w:rPr>
        <w:t xml:space="preserve">Итогом работы кружка стала подготовка </w:t>
      </w:r>
      <w:r w:rsidR="000749B9">
        <w:rPr>
          <w:szCs w:val="28"/>
        </w:rPr>
        <w:t xml:space="preserve">исследовательских работ </w:t>
      </w:r>
      <w:r>
        <w:rPr>
          <w:szCs w:val="28"/>
        </w:rPr>
        <w:t>для участия 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IX</w:t>
      </w:r>
      <w:r w:rsidRPr="00A9131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областных научно-технических чтениях среди обучающихся учреждений начального профессионального образования (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Бала</w:t>
      </w:r>
      <w:r w:rsidR="000749B9">
        <w:rPr>
          <w:rFonts w:cs="Times New Roman"/>
          <w:szCs w:val="28"/>
        </w:rPr>
        <w:t xml:space="preserve">ково) в секциях «Краеведение», </w:t>
      </w:r>
      <w:r>
        <w:rPr>
          <w:rFonts w:cs="Times New Roman"/>
          <w:szCs w:val="28"/>
        </w:rPr>
        <w:t>«Экология и производство».</w:t>
      </w:r>
    </w:p>
    <w:p w:rsidR="00A91312" w:rsidRDefault="00A91312" w:rsidP="00A91312">
      <w:pPr>
        <w:rPr>
          <w:rFonts w:eastAsia="Calibri" w:cs="Times New Roman"/>
          <w:szCs w:val="28"/>
        </w:rPr>
      </w:pPr>
      <w:proofErr w:type="gramStart"/>
      <w:r>
        <w:rPr>
          <w:szCs w:val="28"/>
        </w:rPr>
        <w:t>В процессе внеклассной работы междисципли</w:t>
      </w:r>
      <w:r w:rsidR="004F417B">
        <w:rPr>
          <w:szCs w:val="28"/>
        </w:rPr>
        <w:t xml:space="preserve">нарного кружка мы использовали следующие </w:t>
      </w:r>
      <w:r>
        <w:rPr>
          <w:szCs w:val="28"/>
        </w:rPr>
        <w:t>методы: работа с источниками в архиве, анкетирование и интервьюирование выпускников и ветеранов училища, наблюдение за различными участками акватории Волги в районе Саратова и Энгельса, ознакомление с результатами экологического мониторинга саратовского порта, анализ приемлемых способов защиты водных ресурсов от загрязнений судами, частично-поисковый или эвристический подход, создание ситуаций успеха.</w:t>
      </w:r>
      <w:proofErr w:type="gramEnd"/>
    </w:p>
    <w:p w:rsidR="00A91312" w:rsidRDefault="00A91312" w:rsidP="00A91312">
      <w:pPr>
        <w:pStyle w:val="ab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Теоретическая значимость исследовательской работы учащихся заключалась в том, что она позволяет</w:t>
      </w:r>
      <w:r>
        <w:rPr>
          <w:rFonts w:ascii="Times New Roman" w:hAnsi="Times New Roman"/>
          <w:color w:val="000000"/>
          <w:sz w:val="28"/>
          <w:szCs w:val="28"/>
        </w:rPr>
        <w:t xml:space="preserve"> узнать об истории начального профессионального образования в Саратове, пополнить знания об училище, о выдающихся людях родного края, о влиянии судоходства на экологическую ситуацию в акватории Волги, освоение и совершенствование информационных технологий – поиск информации в Интернете, работа в текстовом редакторе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A913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работа с электронными таблицами в программе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A913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алгоритм составления презентаций с помощью программ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A913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PowerPoint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Open</w:t>
      </w:r>
      <w:r w:rsidRPr="00A913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Office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1312" w:rsidRDefault="00A91312" w:rsidP="005D04A5">
      <w:pPr>
        <w:pStyle w:val="ab"/>
        <w:spacing w:line="360" w:lineRule="auto"/>
        <w:ind w:firstLine="567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Практическая значимость </w:t>
      </w:r>
      <w:r>
        <w:rPr>
          <w:rFonts w:ascii="Times New Roman" w:hAnsi="Times New Roman"/>
          <w:sz w:val="28"/>
          <w:szCs w:val="28"/>
        </w:rPr>
        <w:t>исследовательской работы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заключается в том, что результаты исследования были использованы в лекциях, на уроках истории и краеведения, химии, биологии, информатики,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классных часах, для ознакомления абитуриентов, в проведении юбилейных мероприятий, при создании музея училища. </w:t>
      </w:r>
    </w:p>
    <w:p w:rsidR="00A91312" w:rsidRDefault="00A91312" w:rsidP="00EF0545">
      <w:pPr>
        <w:ind w:left="360" w:firstLine="207"/>
        <w:rPr>
          <w:b/>
        </w:rPr>
      </w:pPr>
      <w:r>
        <w:t>Показатели повышения качества знаний в результате проведенной внеклассной учебно-исследовательской деятельности учащихся профессионального училища.</w:t>
      </w:r>
    </w:p>
    <w:p w:rsidR="00A91312" w:rsidRPr="00EF0545" w:rsidRDefault="00A91312" w:rsidP="00C078FA">
      <w:pPr>
        <w:pStyle w:val="a9"/>
        <w:ind w:firstLine="0"/>
        <w:jc w:val="left"/>
      </w:pPr>
      <w:r w:rsidRPr="00EF0545">
        <w:t>Сравнительн</w:t>
      </w:r>
      <w:r w:rsidR="00C078FA">
        <w:t>ые</w:t>
      </w:r>
      <w:r w:rsidRPr="00EF0545">
        <w:t xml:space="preserve"> диаграмм</w:t>
      </w:r>
      <w:r w:rsidR="00C078FA">
        <w:t>ы</w:t>
      </w:r>
      <w:r w:rsidRPr="00EF0545">
        <w:t xml:space="preserve"> качества знаний по истории, химии,</w:t>
      </w:r>
    </w:p>
    <w:p w:rsidR="00A91312" w:rsidRPr="00EF0545" w:rsidRDefault="00A91312" w:rsidP="00A91312">
      <w:pPr>
        <w:pStyle w:val="a9"/>
        <w:ind w:firstLine="0"/>
        <w:jc w:val="center"/>
      </w:pPr>
      <w:r w:rsidRPr="00EF0545">
        <w:t xml:space="preserve"> информатике за 2010-2011 учебный год</w:t>
      </w:r>
    </w:p>
    <w:p w:rsidR="00A91312" w:rsidRDefault="00A91312" w:rsidP="00A91312">
      <w:pPr>
        <w:pStyle w:val="a9"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393461" cy="2211572"/>
            <wp:effectExtent l="19050" t="0" r="2613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1312" w:rsidRDefault="00A91312" w:rsidP="00A91312">
      <w:pPr>
        <w:rPr>
          <w:rFonts w:cs="Times New Roman"/>
          <w:b/>
          <w:szCs w:val="28"/>
        </w:rPr>
      </w:pPr>
      <w:r>
        <w:rPr>
          <w:b/>
          <w:noProof/>
          <w:color w:val="1F497D" w:themeColor="text2"/>
          <w:lang w:eastAsia="ru-RU"/>
        </w:rPr>
        <w:drawing>
          <wp:inline distT="0" distB="0" distL="0" distR="0">
            <wp:extent cx="4391557" cy="2620526"/>
            <wp:effectExtent l="19050" t="0" r="28043" b="837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1312" w:rsidRDefault="00A91312" w:rsidP="00A91312">
      <w:pPr>
        <w:rPr>
          <w:rFonts w:cs="Times New Roman"/>
          <w:b/>
          <w:szCs w:val="28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499787" cy="2806995"/>
            <wp:effectExtent l="19050" t="0" r="15063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1312" w:rsidRDefault="00A91312" w:rsidP="00A91312">
      <w:pPr>
        <w:rPr>
          <w:rFonts w:cs="Times New Roman"/>
          <w:b/>
          <w:szCs w:val="28"/>
        </w:rPr>
      </w:pPr>
    </w:p>
    <w:p w:rsidR="00A91312" w:rsidRDefault="00A91312" w:rsidP="00A91312">
      <w:pPr>
        <w:rPr>
          <w:rFonts w:cs="Times New Roman"/>
          <w:szCs w:val="28"/>
        </w:rPr>
      </w:pPr>
      <w:r>
        <w:rPr>
          <w:rFonts w:cs="Times New Roman"/>
          <w:szCs w:val="28"/>
        </w:rPr>
        <w:t>Данные диаграммы отражают положительную динамику в повышении качества знаний учащихся первого курса по профессии «Судоводитель-помощник механика судов речного флота» в течение 2010-2011 учебного года по истории, химии, информатике.</w:t>
      </w:r>
    </w:p>
    <w:p w:rsidR="00A91312" w:rsidRDefault="00A91312" w:rsidP="00A91312">
      <w:pPr>
        <w:rPr>
          <w:rFonts w:cs="Times New Roman"/>
          <w:szCs w:val="28"/>
        </w:rPr>
      </w:pPr>
      <w:r>
        <w:rPr>
          <w:rFonts w:cs="Times New Roman"/>
          <w:szCs w:val="28"/>
        </w:rPr>
        <w:t>Внеклассная учебно-исследовательская деятельность учащихся в начальном профессиональном образовании в процессе работы междисциплинарного кружка позволила увеличить положительную интеллектуальную мотивацию учащихся, что привело к повышению качества знаний, успешному формированию общих и профессиональных компетенций.</w:t>
      </w:r>
    </w:p>
    <w:p w:rsidR="00EF0545" w:rsidRDefault="00A91312" w:rsidP="00EF0545">
      <w:pPr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Полученный опыт научно-педагогической деятельности позволит полнее реализовывать интеллектуальный потенциал учащихся на уроках и в профессиональной подготовке. Через апробированный метод учебно-исследовательской деятельности возможно осуществление</w:t>
      </w:r>
      <w:r>
        <w:rPr>
          <w:rFonts w:cs="Times New Roman"/>
          <w:szCs w:val="28"/>
        </w:rPr>
        <w:t xml:space="preserve"> непрерывной связи урочной и внеурочной деятельности учащихся в целях успешности освоения компетенций.</w:t>
      </w:r>
      <w:bookmarkStart w:id="2" w:name="_Toc305789596"/>
    </w:p>
    <w:p w:rsidR="00A91312" w:rsidRPr="00EF0545" w:rsidRDefault="00A91312" w:rsidP="00EF0545">
      <w:pPr>
        <w:rPr>
          <w:b/>
        </w:rPr>
      </w:pPr>
      <w:bookmarkStart w:id="3" w:name="_Toc305789597"/>
      <w:bookmarkEnd w:id="2"/>
      <w:r w:rsidRPr="00EF0545">
        <w:rPr>
          <w:b/>
        </w:rPr>
        <w:t>Литература:</w:t>
      </w:r>
      <w:bookmarkEnd w:id="3"/>
    </w:p>
    <w:p w:rsidR="00A91312" w:rsidRDefault="00A91312" w:rsidP="00A91312">
      <w:pPr>
        <w:pStyle w:val="a9"/>
        <w:numPr>
          <w:ilvl w:val="0"/>
          <w:numId w:val="9"/>
        </w:numPr>
        <w:tabs>
          <w:tab w:val="left" w:pos="540"/>
        </w:tabs>
        <w:rPr>
          <w:szCs w:val="28"/>
        </w:rPr>
      </w:pPr>
      <w:r>
        <w:rPr>
          <w:szCs w:val="28"/>
        </w:rPr>
        <w:t xml:space="preserve">Горшкова Оксана Олеговна. Дидактические условия формирования познавательной активности учащихся профессиональных училищ: </w:t>
      </w:r>
      <w:proofErr w:type="spellStart"/>
      <w:r>
        <w:rPr>
          <w:szCs w:val="28"/>
        </w:rPr>
        <w:lastRenderedPageBreak/>
        <w:t>Дис</w:t>
      </w:r>
      <w:proofErr w:type="spellEnd"/>
      <w:r>
        <w:rPr>
          <w:szCs w:val="28"/>
        </w:rPr>
        <w:t xml:space="preserve">. ... канд. </w:t>
      </w:r>
      <w:proofErr w:type="spellStart"/>
      <w:r>
        <w:rPr>
          <w:szCs w:val="28"/>
        </w:rPr>
        <w:t>пед</w:t>
      </w:r>
      <w:proofErr w:type="spellEnd"/>
      <w:r>
        <w:rPr>
          <w:szCs w:val="28"/>
        </w:rPr>
        <w:t xml:space="preserve">. наук: 13.00.01: Тула, 2003 230 </w:t>
      </w:r>
      <w:proofErr w:type="spellStart"/>
      <w:r>
        <w:rPr>
          <w:szCs w:val="28"/>
        </w:rPr>
        <w:t>c</w:t>
      </w:r>
      <w:proofErr w:type="spellEnd"/>
      <w:r>
        <w:rPr>
          <w:szCs w:val="28"/>
        </w:rPr>
        <w:t>. РГБ ОД, 61:03-13/2057-6</w:t>
      </w:r>
    </w:p>
    <w:p w:rsidR="00A91312" w:rsidRDefault="00A91312" w:rsidP="00A9131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Новиков, A.M. Российское образование в новой эпохе: Парадоксы наследия; векторы развития / A.M. Новиков. - М.: </w:t>
      </w:r>
      <w:proofErr w:type="spellStart"/>
      <w:r>
        <w:rPr>
          <w:sz w:val="28"/>
          <w:szCs w:val="28"/>
        </w:rPr>
        <w:t>Эгвес</w:t>
      </w:r>
      <w:proofErr w:type="spellEnd"/>
      <w:r>
        <w:rPr>
          <w:sz w:val="28"/>
          <w:szCs w:val="28"/>
        </w:rPr>
        <w:t>, 2000. - С. 24 .</w:t>
      </w:r>
    </w:p>
    <w:p w:rsidR="00FD6ADF" w:rsidRPr="00D91CFF" w:rsidRDefault="00FD6ADF" w:rsidP="00FD6ADF">
      <w:pPr>
        <w:pStyle w:val="a9"/>
        <w:numPr>
          <w:ilvl w:val="0"/>
          <w:numId w:val="9"/>
        </w:numPr>
        <w:tabs>
          <w:tab w:val="left" w:pos="540"/>
        </w:tabs>
        <w:rPr>
          <w:szCs w:val="28"/>
        </w:rPr>
      </w:pPr>
      <w:proofErr w:type="spellStart"/>
      <w:r w:rsidRPr="00D91CFF">
        <w:rPr>
          <w:szCs w:val="28"/>
        </w:rPr>
        <w:t>Подласый</w:t>
      </w:r>
      <w:proofErr w:type="spellEnd"/>
      <w:r w:rsidRPr="00D91CFF">
        <w:rPr>
          <w:szCs w:val="28"/>
        </w:rPr>
        <w:t xml:space="preserve"> И.П. Педагогика: 100 вопросов – 100 ответов: Учебное пособие для студентов высших учебных заведений. – М.: Издатель</w:t>
      </w:r>
      <w:r>
        <w:rPr>
          <w:szCs w:val="28"/>
        </w:rPr>
        <w:t>ство ВЛАДОС – ПРЕСС, 2004. – 267</w:t>
      </w:r>
      <w:r w:rsidRPr="00D91CFF">
        <w:rPr>
          <w:szCs w:val="28"/>
        </w:rPr>
        <w:t xml:space="preserve"> </w:t>
      </w:r>
      <w:proofErr w:type="gramStart"/>
      <w:r w:rsidRPr="00D91CFF">
        <w:rPr>
          <w:szCs w:val="28"/>
        </w:rPr>
        <w:t>с</w:t>
      </w:r>
      <w:proofErr w:type="gramEnd"/>
      <w:r w:rsidRPr="00D91CFF">
        <w:rPr>
          <w:szCs w:val="28"/>
        </w:rPr>
        <w:t>.</w:t>
      </w:r>
    </w:p>
    <w:p w:rsidR="00F25301" w:rsidRDefault="00F25301" w:rsidP="00C078FA">
      <w:pPr>
        <w:spacing w:after="200" w:line="276" w:lineRule="auto"/>
        <w:ind w:firstLine="0"/>
        <w:jc w:val="left"/>
      </w:pPr>
    </w:p>
    <w:sectPr w:rsidR="00F25301" w:rsidSect="00F2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337"/>
    <w:multiLevelType w:val="hybridMultilevel"/>
    <w:tmpl w:val="CCBE1974"/>
    <w:lvl w:ilvl="0" w:tplc="C86211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321"/>
    <w:multiLevelType w:val="hybridMultilevel"/>
    <w:tmpl w:val="DF403EA8"/>
    <w:lvl w:ilvl="0" w:tplc="8576A7D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321C6"/>
    <w:multiLevelType w:val="hybridMultilevel"/>
    <w:tmpl w:val="8DBA8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61E24"/>
    <w:multiLevelType w:val="hybridMultilevel"/>
    <w:tmpl w:val="231AE9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E03CF"/>
    <w:multiLevelType w:val="hybridMultilevel"/>
    <w:tmpl w:val="7A8E0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742EC"/>
    <w:multiLevelType w:val="hybridMultilevel"/>
    <w:tmpl w:val="DB06F540"/>
    <w:lvl w:ilvl="0" w:tplc="4A54CB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259F0"/>
    <w:multiLevelType w:val="multilevel"/>
    <w:tmpl w:val="42869E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A5C9A"/>
    <w:multiLevelType w:val="hybridMultilevel"/>
    <w:tmpl w:val="52D08EE0"/>
    <w:lvl w:ilvl="0" w:tplc="39F006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007BA"/>
    <w:multiLevelType w:val="hybridMultilevel"/>
    <w:tmpl w:val="3E6C41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578B7"/>
    <w:multiLevelType w:val="hybridMultilevel"/>
    <w:tmpl w:val="BEBE26BC"/>
    <w:lvl w:ilvl="0" w:tplc="C8621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62F93"/>
    <w:multiLevelType w:val="multilevel"/>
    <w:tmpl w:val="A946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379C1"/>
    <w:multiLevelType w:val="hybridMultilevel"/>
    <w:tmpl w:val="5274AB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B76A1"/>
    <w:multiLevelType w:val="hybridMultilevel"/>
    <w:tmpl w:val="89585A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A7524"/>
    <w:multiLevelType w:val="hybridMultilevel"/>
    <w:tmpl w:val="518CE61E"/>
    <w:lvl w:ilvl="0" w:tplc="8576A7D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312"/>
    <w:rsid w:val="000749B9"/>
    <w:rsid w:val="0036582B"/>
    <w:rsid w:val="004F417B"/>
    <w:rsid w:val="005D04A5"/>
    <w:rsid w:val="006236A1"/>
    <w:rsid w:val="006A001C"/>
    <w:rsid w:val="00854D52"/>
    <w:rsid w:val="00A91312"/>
    <w:rsid w:val="00BC2025"/>
    <w:rsid w:val="00C078FA"/>
    <w:rsid w:val="00D05E82"/>
    <w:rsid w:val="00E74ABC"/>
    <w:rsid w:val="00EF0545"/>
    <w:rsid w:val="00F25301"/>
    <w:rsid w:val="00F9710C"/>
    <w:rsid w:val="00FC729E"/>
    <w:rsid w:val="00F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1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913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13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A91312"/>
    <w:pPr>
      <w:spacing w:after="100"/>
    </w:pPr>
  </w:style>
  <w:style w:type="paragraph" w:styleId="a5">
    <w:name w:val="Body Text"/>
    <w:basedOn w:val="a"/>
    <w:link w:val="a6"/>
    <w:uiPriority w:val="99"/>
    <w:unhideWhenUsed/>
    <w:rsid w:val="00A91312"/>
    <w:pPr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913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A91312"/>
    <w:rPr>
      <w:rFonts w:ascii="Times New Roman" w:eastAsiaTheme="minorEastAsia" w:hAnsi="Times New Roman" w:cs="Times New Roman"/>
    </w:rPr>
  </w:style>
  <w:style w:type="paragraph" w:styleId="a8">
    <w:name w:val="No Spacing"/>
    <w:link w:val="a7"/>
    <w:uiPriority w:val="1"/>
    <w:qFormat/>
    <w:rsid w:val="00A91312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9">
    <w:name w:val="List Paragraph"/>
    <w:basedOn w:val="a"/>
    <w:uiPriority w:val="34"/>
    <w:qFormat/>
    <w:rsid w:val="00A91312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A91312"/>
    <w:pPr>
      <w:spacing w:line="276" w:lineRule="auto"/>
      <w:ind w:firstLine="0"/>
      <w:jc w:val="left"/>
      <w:outlineLvl w:val="9"/>
    </w:pPr>
  </w:style>
  <w:style w:type="paragraph" w:customStyle="1" w:styleId="ConsPlusTitle">
    <w:name w:val="ConsPlusTitle"/>
    <w:uiPriority w:val="99"/>
    <w:rsid w:val="00A91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Основной абзац"/>
    <w:basedOn w:val="a"/>
    <w:uiPriority w:val="99"/>
    <w:rsid w:val="00A91312"/>
    <w:pPr>
      <w:spacing w:before="120" w:line="480" w:lineRule="auto"/>
      <w:ind w:firstLine="720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A9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91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 с высокой интеллектуальной мотивацией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8</c:v>
                </c:pt>
                <c:pt idx="2">
                  <c:v>11</c:v>
                </c:pt>
                <c:pt idx="3">
                  <c:v>36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учащихся с низкой интеллектуальной  мотивацией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</c:v>
                </c:pt>
                <c:pt idx="1">
                  <c:v>67</c:v>
                </c:pt>
                <c:pt idx="2">
                  <c:v>64</c:v>
                </c:pt>
                <c:pt idx="3">
                  <c:v>39</c:v>
                </c:pt>
                <c:pt idx="4">
                  <c:v>58</c:v>
                </c:pt>
              </c:numCache>
            </c:numRef>
          </c:val>
        </c:ser>
        <c:axId val="65750144"/>
        <c:axId val="65776640"/>
      </c:barChart>
      <c:catAx>
        <c:axId val="65750144"/>
        <c:scaling>
          <c:orientation val="minMax"/>
        </c:scaling>
        <c:axPos val="b"/>
        <c:tickLblPos val="nextTo"/>
        <c:crossAx val="65776640"/>
        <c:crosses val="autoZero"/>
        <c:auto val="1"/>
        <c:lblAlgn val="ctr"/>
        <c:lblOffset val="100"/>
      </c:catAx>
      <c:valAx>
        <c:axId val="65776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6575014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"3"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в аттестате</c:v>
                </c:pt>
                <c:pt idx="1">
                  <c:v>Оценка за первое полугодие</c:v>
                </c:pt>
                <c:pt idx="2">
                  <c:v>Оценка за второе полугодие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40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в аттестате</c:v>
                </c:pt>
                <c:pt idx="1">
                  <c:v>Оценка за первое полугодие</c:v>
                </c:pt>
                <c:pt idx="2">
                  <c:v>Оценка за второе полугодие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25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в аттестате</c:v>
                </c:pt>
                <c:pt idx="1">
                  <c:v>Оценка за первое полугодие</c:v>
                </c:pt>
                <c:pt idx="2">
                  <c:v>Оценка за второе полугодие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hape val="cone"/>
        <c:axId val="72177536"/>
        <c:axId val="72204288"/>
        <c:axId val="72071808"/>
      </c:bar3DChart>
      <c:catAx>
        <c:axId val="72177536"/>
        <c:scaling>
          <c:orientation val="minMax"/>
        </c:scaling>
        <c:axPos val="b"/>
        <c:tickLblPos val="nextTo"/>
        <c:crossAx val="72204288"/>
        <c:crosses val="autoZero"/>
        <c:auto val="1"/>
        <c:lblAlgn val="ctr"/>
        <c:lblOffset val="100"/>
      </c:catAx>
      <c:valAx>
        <c:axId val="72204288"/>
        <c:scaling>
          <c:orientation val="minMax"/>
        </c:scaling>
        <c:axPos val="l"/>
        <c:majorGridlines/>
        <c:numFmt formatCode="General" sourceLinked="1"/>
        <c:tickLblPos val="nextTo"/>
        <c:crossAx val="72177536"/>
        <c:crosses val="autoZero"/>
        <c:crossBetween val="between"/>
      </c:valAx>
      <c:serAx>
        <c:axId val="72071808"/>
        <c:scaling>
          <c:orientation val="minMax"/>
        </c:scaling>
        <c:axPos val="b"/>
        <c:tickLblPos val="nextTo"/>
        <c:crossAx val="72204288"/>
        <c:crosses val="autoZero"/>
      </c:ser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500" baseline="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Химия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в аттестате</c:v>
                </c:pt>
                <c:pt idx="1">
                  <c:v>Оценка за первое полугодие</c:v>
                </c:pt>
                <c:pt idx="2">
                  <c:v>Оценка за второе полугодие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43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в аттестате</c:v>
                </c:pt>
                <c:pt idx="1">
                  <c:v>Оценка за первое полугодие</c:v>
                </c:pt>
                <c:pt idx="2">
                  <c:v>Оценка за второе полугодие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27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в аттестате</c:v>
                </c:pt>
                <c:pt idx="1">
                  <c:v>Оценка за первое полугодие</c:v>
                </c:pt>
                <c:pt idx="2">
                  <c:v>Оценка за второе полугодие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hape val="cone"/>
        <c:axId val="75174656"/>
        <c:axId val="75176960"/>
        <c:axId val="61827264"/>
      </c:bar3DChart>
      <c:catAx>
        <c:axId val="75174656"/>
        <c:scaling>
          <c:orientation val="minMax"/>
        </c:scaling>
        <c:axPos val="b"/>
        <c:tickLblPos val="nextTo"/>
        <c:crossAx val="75176960"/>
        <c:crosses val="autoZero"/>
        <c:auto val="1"/>
        <c:lblAlgn val="ctr"/>
        <c:lblOffset val="100"/>
      </c:catAx>
      <c:valAx>
        <c:axId val="75176960"/>
        <c:scaling>
          <c:orientation val="minMax"/>
        </c:scaling>
        <c:axPos val="l"/>
        <c:majorGridlines/>
        <c:numFmt formatCode="General" sourceLinked="1"/>
        <c:tickLblPos val="nextTo"/>
        <c:crossAx val="75174656"/>
        <c:crosses val="autoZero"/>
        <c:crossBetween val="between"/>
      </c:valAx>
      <c:serAx>
        <c:axId val="61827264"/>
        <c:scaling>
          <c:orientation val="minMax"/>
        </c:scaling>
        <c:axPos val="b"/>
        <c:tickLblPos val="nextTo"/>
        <c:crossAx val="75176960"/>
        <c:crosses val="autoZero"/>
      </c:serAx>
    </c:plotArea>
    <c:legend>
      <c:legendPos val="r"/>
    </c:legend>
    <c:plotVisOnly val="1"/>
  </c:chart>
  <c:txPr>
    <a:bodyPr/>
    <a:lstStyle/>
    <a:p>
      <a:pPr>
        <a:defRPr sz="1500" baseline="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Информатика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в аттестате</c:v>
                </c:pt>
                <c:pt idx="1">
                  <c:v>Оценка за первое полугодие</c:v>
                </c:pt>
                <c:pt idx="2">
                  <c:v>Оценка за второе полугодие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26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в аттестате</c:v>
                </c:pt>
                <c:pt idx="1">
                  <c:v>Оценка за первое полугодие</c:v>
                </c:pt>
                <c:pt idx="2">
                  <c:v>Оценка за второе полугодие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35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Оценка в аттестате</c:v>
                </c:pt>
                <c:pt idx="1">
                  <c:v>Оценка за первое полугодие</c:v>
                </c:pt>
                <c:pt idx="2">
                  <c:v>Оценка за второе полугодие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16</c:v>
                </c:pt>
              </c:numCache>
            </c:numRef>
          </c:val>
        </c:ser>
        <c:shape val="cone"/>
        <c:axId val="61773696"/>
        <c:axId val="61775232"/>
        <c:axId val="72125504"/>
      </c:bar3DChart>
      <c:catAx>
        <c:axId val="61773696"/>
        <c:scaling>
          <c:orientation val="minMax"/>
        </c:scaling>
        <c:axPos val="b"/>
        <c:tickLblPos val="nextTo"/>
        <c:crossAx val="61775232"/>
        <c:crosses val="autoZero"/>
        <c:auto val="1"/>
        <c:lblAlgn val="ctr"/>
        <c:lblOffset val="100"/>
      </c:catAx>
      <c:valAx>
        <c:axId val="61775232"/>
        <c:scaling>
          <c:orientation val="minMax"/>
        </c:scaling>
        <c:axPos val="l"/>
        <c:majorGridlines/>
        <c:numFmt formatCode="General" sourceLinked="1"/>
        <c:tickLblPos val="nextTo"/>
        <c:crossAx val="61773696"/>
        <c:crosses val="autoZero"/>
        <c:crossBetween val="between"/>
      </c:valAx>
      <c:serAx>
        <c:axId val="72125504"/>
        <c:scaling>
          <c:orientation val="minMax"/>
        </c:scaling>
        <c:axPos val="b"/>
        <c:tickLblPos val="nextTo"/>
        <c:crossAx val="61775232"/>
        <c:crosses val="autoZero"/>
      </c:serAx>
    </c:plotArea>
    <c:legend>
      <c:legendPos val="r"/>
    </c:legend>
    <c:plotVisOnly val="1"/>
  </c:chart>
  <c:txPr>
    <a:bodyPr/>
    <a:lstStyle/>
    <a:p>
      <a:pPr>
        <a:defRPr sz="15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2011-11-19T17:08:00Z</dcterms:created>
  <dcterms:modified xsi:type="dcterms:W3CDTF">2011-11-19T19:06:00Z</dcterms:modified>
</cp:coreProperties>
</file>