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022" w:rsidRPr="00B35022" w:rsidRDefault="00B35022" w:rsidP="00B35022">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b/>
          <w:bCs/>
          <w:color w:val="000000"/>
          <w:sz w:val="36"/>
          <w:szCs w:val="36"/>
          <w:u w:val="single"/>
          <w:lang w:eastAsia="ru-RU"/>
        </w:rPr>
        <w:t>Инновационная деятельность</w:t>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8"/>
          <w:szCs w:val="28"/>
          <w:lang w:eastAsia="ru-RU"/>
        </w:rPr>
        <w:t>С 2010 года  по 2013 год участвовала в работе школы по реализации инновационного  проекта </w:t>
      </w:r>
      <w:r w:rsidRPr="00B35022">
        <w:rPr>
          <w:rFonts w:ascii="Times New Roman" w:eastAsia="Times New Roman" w:hAnsi="Times New Roman" w:cs="Times New Roman"/>
          <w:color w:val="000000"/>
          <w:spacing w:val="-2"/>
          <w:sz w:val="28"/>
          <w:szCs w:val="28"/>
          <w:shd w:val="clear" w:color="auto" w:fill="FFFFFF"/>
          <w:lang w:eastAsia="ru-RU"/>
        </w:rPr>
        <w:t>«Единое воспитательное пространство Иркутской области как фактор </w:t>
      </w:r>
      <w:r w:rsidRPr="00B35022">
        <w:rPr>
          <w:rFonts w:ascii="Times New Roman" w:eastAsia="Times New Roman" w:hAnsi="Times New Roman" w:cs="Times New Roman"/>
          <w:color w:val="000000"/>
          <w:sz w:val="28"/>
          <w:szCs w:val="28"/>
          <w:shd w:val="clear" w:color="auto" w:fill="FFFFFF"/>
          <w:lang w:eastAsia="ru-RU"/>
        </w:rPr>
        <w:t>развития личности школьника» (распоряжение министерства образования Иркутской области от 03.06.2010г. № 376-мр «Об утверждении пилотных площадок, инновационных образовательных учреждений, школ-лабораторий и участников мегапроекта «Развитие инновационного потенциала субъектов региональной образовательной деятельности как условие достижения нового качества образования»).</w:t>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8"/>
          <w:szCs w:val="28"/>
          <w:shd w:val="clear" w:color="auto" w:fill="FFFFFF"/>
          <w:lang w:eastAsia="ru-RU"/>
        </w:rPr>
        <w:t>С 2011 года включилась в работу по реализации Программы развития МБОУ "СОШ № 12" "Школа социального развития".</w:t>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p>
    <w:p w:rsidR="00B35022" w:rsidRPr="00B35022" w:rsidRDefault="00B35022" w:rsidP="00B35022">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b/>
          <w:bCs/>
          <w:color w:val="000000"/>
          <w:sz w:val="36"/>
          <w:szCs w:val="36"/>
          <w:u w:val="single"/>
          <w:lang w:eastAsia="ru-RU"/>
        </w:rPr>
        <w:t>Используемые образовательные технологии</w:t>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8"/>
          <w:szCs w:val="28"/>
          <w:lang w:eastAsia="ru-RU"/>
        </w:rPr>
        <w:t>Эффективно применяю в практической профессиональной деятельности технологию  развивающего обучения и рефлексивного воспитания (Н.П. Капустин), технологию критического мышления, информационно-коммуникативные технологии. </w:t>
      </w:r>
      <w:r w:rsidRPr="00B35022">
        <w:rPr>
          <w:rFonts w:ascii="Times New Roman" w:eastAsia="Times New Roman" w:hAnsi="Times New Roman" w:cs="Times New Roman"/>
          <w:color w:val="00000A"/>
          <w:sz w:val="28"/>
          <w:szCs w:val="28"/>
          <w:lang w:eastAsia="ru-RU"/>
        </w:rPr>
        <w:t>Это позволяет формировать у школьников основные образовательные и информационные компетенции, </w:t>
      </w:r>
      <w:r w:rsidRPr="00B35022">
        <w:rPr>
          <w:rFonts w:ascii="Times New Roman" w:eastAsia="Times New Roman" w:hAnsi="Times New Roman" w:cs="Times New Roman"/>
          <w:color w:val="000000"/>
          <w:sz w:val="28"/>
          <w:szCs w:val="28"/>
          <w:lang w:eastAsia="ru-RU"/>
        </w:rPr>
        <w:t>субъектный опыт с установкой на саморазвитие  личности, </w:t>
      </w:r>
      <w:r w:rsidRPr="00B35022">
        <w:rPr>
          <w:rFonts w:ascii="Times New Roman" w:eastAsia="Times New Roman" w:hAnsi="Times New Roman" w:cs="Times New Roman"/>
          <w:color w:val="00000A"/>
          <w:sz w:val="28"/>
          <w:szCs w:val="28"/>
          <w:lang w:eastAsia="ru-RU"/>
        </w:rPr>
        <w:t>навыки социального взаимодействия, воспитывать рефлексивную культуру</w:t>
      </w:r>
      <w:r w:rsidRPr="00B35022">
        <w:rPr>
          <w:rFonts w:ascii="Times New Roman" w:eastAsia="Times New Roman" w:hAnsi="Times New Roman" w:cs="Times New Roman"/>
          <w:color w:val="000000"/>
          <w:sz w:val="28"/>
          <w:szCs w:val="28"/>
          <w:lang w:eastAsia="ru-RU"/>
        </w:rPr>
        <w:t>. Реализуя системно-деятельностный подход, управляю познавательной деятельностью школьников, развиваю у них умение работать самостоятельно, осуществлять рефлексию результатов учебной работы. В системе работаю над развитием учебно-исследовательских умений и логического мышления детей, используя исследовательский метод обучения. </w:t>
      </w:r>
    </w:p>
    <w:p w:rsidR="00B35022" w:rsidRPr="00B35022" w:rsidRDefault="00B35022" w:rsidP="00B35022">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b/>
          <w:bCs/>
          <w:color w:val="000000"/>
          <w:sz w:val="36"/>
          <w:szCs w:val="36"/>
          <w:u w:val="single"/>
          <w:lang w:eastAsia="ru-RU"/>
        </w:rPr>
        <w:t>Использование информационно-коммуникационных технологий в образовательном процессе</w:t>
      </w:r>
    </w:p>
    <w:p w:rsidR="00B35022" w:rsidRPr="00B35022" w:rsidRDefault="00B35022" w:rsidP="00B35022">
      <w:pPr>
        <w:spacing w:after="0" w:line="240" w:lineRule="auto"/>
        <w:rPr>
          <w:rFonts w:ascii="Times New Roman" w:eastAsia="Times New Roman" w:hAnsi="Times New Roman" w:cs="Times New Roman"/>
          <w:sz w:val="24"/>
          <w:szCs w:val="24"/>
          <w:lang w:eastAsia="ru-RU"/>
        </w:rPr>
      </w:pPr>
      <w:r w:rsidRPr="00B35022">
        <w:rPr>
          <w:rFonts w:ascii="Times New Roman" w:eastAsia="Times New Roman" w:hAnsi="Times New Roman" w:cs="Times New Roman"/>
          <w:color w:val="000000"/>
          <w:sz w:val="28"/>
          <w:szCs w:val="28"/>
          <w:lang w:eastAsia="ru-RU"/>
        </w:rPr>
        <w:t>В системе использую ИКТ в образовательном процессе – в урочной, внеурочной деятельности, при подготовке к урокам и занятиям.</w:t>
      </w:r>
      <w:r w:rsidRPr="00B35022">
        <w:rPr>
          <w:rFonts w:ascii="Verdana" w:eastAsia="Times New Roman" w:hAnsi="Verdana" w:cs="Times New Roman"/>
          <w:color w:val="000000"/>
          <w:sz w:val="17"/>
          <w:szCs w:val="17"/>
          <w:lang w:eastAsia="ru-RU"/>
        </w:rPr>
        <w:br/>
      </w:r>
      <w:r w:rsidRPr="00B35022">
        <w:rPr>
          <w:rFonts w:ascii="Times New Roman" w:eastAsia="Times New Roman" w:hAnsi="Times New Roman" w:cs="Times New Roman"/>
          <w:color w:val="000000"/>
          <w:sz w:val="28"/>
          <w:szCs w:val="28"/>
          <w:shd w:val="clear" w:color="auto" w:fill="FFFFFF"/>
          <w:lang w:eastAsia="ru-RU"/>
        </w:rPr>
        <w:t>Использование информационно-коммуникационных технологий позволяет мне на практике реализовать принцип индивидуализации обучения, интенсифицировать самостоятельную работу учащихся, повысить учебную мотивацию.</w:t>
      </w:r>
      <w:r w:rsidRPr="00B35022">
        <w:rPr>
          <w:rFonts w:ascii="Verdana" w:eastAsia="Times New Roman" w:hAnsi="Verdana" w:cs="Times New Roman"/>
          <w:color w:val="000000"/>
          <w:sz w:val="17"/>
          <w:szCs w:val="17"/>
          <w:lang w:eastAsia="ru-RU"/>
        </w:rPr>
        <w:br/>
      </w:r>
      <w:r w:rsidRPr="00B35022">
        <w:rPr>
          <w:rFonts w:ascii="Times New Roman" w:eastAsia="Times New Roman" w:hAnsi="Times New Roman" w:cs="Times New Roman"/>
          <w:color w:val="000000"/>
          <w:sz w:val="28"/>
          <w:szCs w:val="28"/>
          <w:shd w:val="clear" w:color="auto" w:fill="FFFFFF"/>
          <w:lang w:eastAsia="ru-RU"/>
        </w:rPr>
        <w:t>В своей деятельности практикую следующие варианты использования ИКТ:</w:t>
      </w:r>
      <w:r w:rsidRPr="00B35022">
        <w:rPr>
          <w:rFonts w:ascii="Verdana" w:eastAsia="Times New Roman" w:hAnsi="Verdana" w:cs="Times New Roman"/>
          <w:color w:val="000000"/>
          <w:sz w:val="17"/>
          <w:szCs w:val="17"/>
          <w:lang w:eastAsia="ru-RU"/>
        </w:rPr>
        <w:br/>
      </w:r>
      <w:r w:rsidRPr="00B35022">
        <w:rPr>
          <w:rFonts w:ascii="Times New Roman" w:eastAsia="Times New Roman" w:hAnsi="Times New Roman" w:cs="Times New Roman"/>
          <w:color w:val="000000"/>
          <w:sz w:val="28"/>
          <w:szCs w:val="28"/>
          <w:shd w:val="clear" w:color="auto" w:fill="FFFFFF"/>
          <w:lang w:eastAsia="ru-RU"/>
        </w:rPr>
        <w:t>1)  урок/занятие с мультимедийной поддержкой;</w:t>
      </w:r>
      <w:r w:rsidRPr="00B35022">
        <w:rPr>
          <w:rFonts w:ascii="Verdana" w:eastAsia="Times New Roman" w:hAnsi="Verdana" w:cs="Times New Roman"/>
          <w:color w:val="000000"/>
          <w:sz w:val="17"/>
          <w:szCs w:val="17"/>
          <w:lang w:eastAsia="ru-RU"/>
        </w:rPr>
        <w:br/>
      </w:r>
      <w:r w:rsidRPr="00B35022">
        <w:rPr>
          <w:rFonts w:ascii="Times New Roman" w:eastAsia="Times New Roman" w:hAnsi="Times New Roman" w:cs="Times New Roman"/>
          <w:color w:val="000000"/>
          <w:sz w:val="28"/>
          <w:szCs w:val="28"/>
          <w:shd w:val="clear" w:color="auto" w:fill="FFFFFF"/>
          <w:lang w:eastAsia="ru-RU"/>
        </w:rPr>
        <w:t>2) урок/занятие с компьютерной поддержкой;</w:t>
      </w:r>
      <w:r w:rsidRPr="00B35022">
        <w:rPr>
          <w:rFonts w:ascii="Verdana" w:eastAsia="Times New Roman" w:hAnsi="Verdana" w:cs="Times New Roman"/>
          <w:color w:val="000000"/>
          <w:sz w:val="17"/>
          <w:szCs w:val="17"/>
          <w:lang w:eastAsia="ru-RU"/>
        </w:rPr>
        <w:br/>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8"/>
          <w:szCs w:val="28"/>
          <w:shd w:val="clear" w:color="auto" w:fill="FFFFFF"/>
          <w:lang w:eastAsia="ru-RU"/>
        </w:rPr>
        <w:lastRenderedPageBreak/>
        <w:t>3) урок/занятие интегрированный с информатикой.</w:t>
      </w:r>
    </w:p>
    <w:p w:rsidR="00B35022" w:rsidRPr="00B35022" w:rsidRDefault="00B35022" w:rsidP="00B35022">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b/>
          <w:bCs/>
          <w:color w:val="000000"/>
          <w:sz w:val="36"/>
          <w:szCs w:val="36"/>
          <w:u w:val="single"/>
          <w:lang w:eastAsia="ru-RU"/>
        </w:rPr>
        <w:t>Обоснование применения в своей практике средств педагогической диагностики для оценки образовательных результатов</w:t>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8"/>
          <w:szCs w:val="28"/>
          <w:lang w:eastAsia="ru-RU"/>
        </w:rPr>
        <w:t>В своей практической деятельности я использую различные формы диагностики.</w:t>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b/>
          <w:bCs/>
          <w:color w:val="000000"/>
          <w:sz w:val="28"/>
          <w:szCs w:val="28"/>
          <w:lang w:eastAsia="ru-RU"/>
        </w:rPr>
        <w:t>1. Традиционные средства педагогической диагностики:</w:t>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b/>
          <w:bCs/>
          <w:color w:val="000000"/>
          <w:sz w:val="28"/>
          <w:szCs w:val="28"/>
          <w:lang w:eastAsia="ru-RU"/>
        </w:rPr>
        <w:t>     1.1.</w:t>
      </w:r>
      <w:r w:rsidRPr="00B35022">
        <w:rPr>
          <w:rFonts w:ascii="Verdana" w:eastAsia="Times New Roman" w:hAnsi="Verdana" w:cs="Times New Roman"/>
          <w:b/>
          <w:bCs/>
          <w:color w:val="000000"/>
          <w:sz w:val="28"/>
          <w:szCs w:val="28"/>
          <w:lang w:eastAsia="ru-RU"/>
        </w:rPr>
        <w:t> </w:t>
      </w:r>
      <w:r w:rsidRPr="00B35022">
        <w:rPr>
          <w:rFonts w:ascii="Times New Roman" w:eastAsia="Times New Roman" w:hAnsi="Times New Roman" w:cs="Times New Roman"/>
          <w:b/>
          <w:bCs/>
          <w:color w:val="000000"/>
          <w:sz w:val="28"/>
          <w:szCs w:val="28"/>
          <w:lang w:eastAsia="ru-RU"/>
        </w:rPr>
        <w:t>Контрольная работа </w:t>
      </w:r>
      <w:r w:rsidRPr="00B35022">
        <w:rPr>
          <w:rFonts w:ascii="Times New Roman" w:eastAsia="Times New Roman" w:hAnsi="Times New Roman" w:cs="Times New Roman"/>
          <w:color w:val="000000"/>
          <w:sz w:val="27"/>
          <w:szCs w:val="27"/>
          <w:lang w:eastAsia="ru-RU"/>
        </w:rPr>
        <w:t>- объективно оценивает знание, умение и навыки, показывает способности каждого отдельно взятого ученика. </w:t>
      </w:r>
      <w:r w:rsidRPr="00B35022">
        <w:rPr>
          <w:rFonts w:ascii="Times New Roman" w:eastAsia="Times New Roman" w:hAnsi="Times New Roman" w:cs="Times New Roman"/>
          <w:color w:val="000000"/>
          <w:sz w:val="36"/>
          <w:szCs w:val="36"/>
          <w:lang w:eastAsia="ru-RU"/>
        </w:rPr>
        <w:t>Текущие контрольные работы имеют целью проверку усвоения изучаемого и проверяемого программного материала; их содержание и частотность определяются с учетом степени сложности изучаемого материала, а также особенностей учащихся каждого класса. Для проведения текущих контрольных работ отводится весь урок или только часть его. Итоговые контрольные работы проводятся:</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 после изучения наиболее значительных тем программы,</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 в конце учебной четверти,</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 в конце полугодия.</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b/>
          <w:bCs/>
          <w:color w:val="000000"/>
          <w:sz w:val="36"/>
          <w:szCs w:val="36"/>
          <w:lang w:eastAsia="ru-RU"/>
        </w:rPr>
        <w:t>1.2. Самостоятельная ра</w:t>
      </w:r>
      <w:r w:rsidRPr="00B35022">
        <w:rPr>
          <w:rFonts w:ascii="Times New Roman" w:eastAsia="Times New Roman" w:hAnsi="Times New Roman" w:cs="Times New Roman"/>
          <w:b/>
          <w:bCs/>
          <w:color w:val="000000"/>
          <w:sz w:val="28"/>
          <w:szCs w:val="28"/>
          <w:lang w:eastAsia="ru-RU"/>
        </w:rPr>
        <w:t>бота</w:t>
      </w:r>
      <w:r w:rsidRPr="00B35022">
        <w:rPr>
          <w:rFonts w:ascii="Times New Roman" w:eastAsia="Times New Roman" w:hAnsi="Times New Roman" w:cs="Times New Roman"/>
          <w:color w:val="000000"/>
          <w:sz w:val="36"/>
          <w:szCs w:val="36"/>
          <w:lang w:eastAsia="ru-RU"/>
        </w:rPr>
        <w:t xml:space="preserve"> - проводится фронтально, небольшими группами и индивидуально. Цель такого контроля определяется индивидуальными особенностями, темпом продвижения учащихся и усвоения знаний.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 Самостоятельные работы учащихся планомерно и </w:t>
      </w:r>
      <w:r w:rsidRPr="00B35022">
        <w:rPr>
          <w:rFonts w:ascii="Times New Roman" w:eastAsia="Times New Roman" w:hAnsi="Times New Roman" w:cs="Times New Roman"/>
          <w:color w:val="000000"/>
          <w:sz w:val="36"/>
          <w:szCs w:val="36"/>
          <w:lang w:eastAsia="ru-RU"/>
        </w:rPr>
        <w:lastRenderedPageBreak/>
        <w:t>систематически включаются в учебный процесс. Только при этом условии у них будут вырабатываться твердые умения и навыки. Общение в паре на уроках контроля.</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Verdana" w:eastAsia="Times New Roman" w:hAnsi="Verdana" w:cs="Times New Roman"/>
          <w:color w:val="000000"/>
          <w:sz w:val="27"/>
          <w:szCs w:val="27"/>
          <w:lang w:eastAsia="ru-RU"/>
        </w:rPr>
        <w:t> </w:t>
      </w:r>
      <w:r w:rsidRPr="00B35022">
        <w:rPr>
          <w:rFonts w:ascii="Times New Roman" w:eastAsia="Times New Roman" w:hAnsi="Times New Roman" w:cs="Times New Roman"/>
          <w:b/>
          <w:bCs/>
          <w:color w:val="000000"/>
          <w:sz w:val="28"/>
          <w:szCs w:val="28"/>
          <w:lang w:eastAsia="ru-RU"/>
        </w:rPr>
        <w:t>1.3. Устный опрос</w:t>
      </w:r>
      <w:r w:rsidRPr="00B35022">
        <w:rPr>
          <w:rFonts w:ascii="Times New Roman" w:eastAsia="Times New Roman" w:hAnsi="Times New Roman" w:cs="Times New Roman"/>
          <w:color w:val="000000"/>
          <w:sz w:val="27"/>
          <w:szCs w:val="27"/>
          <w:lang w:eastAsia="ru-RU"/>
        </w:rPr>
        <w:t> - требует устного изложения учеником изученного материала, связного повествования о конкретном объекте окружающего мира. Такой опрос строится как беседа, рассказ ученика, объяснение, сообщение о наблюдении и т.д. Устный опрос как диалог учителя с одним учащимся или со всем классом (ответы с места) проводится в основном на первых этапах обучения, когда требуется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не 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 </w:t>
      </w:r>
      <w:r w:rsidRPr="00B35022">
        <w:rPr>
          <w:rFonts w:ascii="Times New Roman" w:eastAsia="Times New Roman" w:hAnsi="Times New Roman" w:cs="Times New Roman"/>
          <w:b/>
          <w:bCs/>
          <w:color w:val="000000"/>
          <w:sz w:val="27"/>
          <w:szCs w:val="27"/>
          <w:lang w:eastAsia="ru-RU"/>
        </w:rPr>
        <w:t>2. Инновационные средства педагогической диагностики.</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Verdana" w:eastAsia="Times New Roman" w:hAnsi="Verdana" w:cs="Times New Roman"/>
          <w:color w:val="000000"/>
          <w:sz w:val="27"/>
          <w:szCs w:val="27"/>
          <w:lang w:eastAsia="ru-RU"/>
        </w:rPr>
        <w:t> </w:t>
      </w:r>
      <w:r w:rsidRPr="00B35022">
        <w:rPr>
          <w:rFonts w:ascii="Times New Roman" w:eastAsia="Times New Roman" w:hAnsi="Times New Roman" w:cs="Times New Roman"/>
          <w:b/>
          <w:bCs/>
          <w:color w:val="000000"/>
          <w:sz w:val="28"/>
          <w:szCs w:val="28"/>
          <w:lang w:eastAsia="ru-RU"/>
        </w:rPr>
        <w:t>Тестирование</w:t>
      </w:r>
      <w:r w:rsidRPr="00B35022">
        <w:rPr>
          <w:rFonts w:ascii="Times New Roman" w:eastAsia="Times New Roman" w:hAnsi="Times New Roman" w:cs="Times New Roman"/>
          <w:color w:val="000000"/>
          <w:sz w:val="27"/>
          <w:szCs w:val="27"/>
          <w:lang w:eastAsia="ru-RU"/>
        </w:rPr>
        <w:t> – одна из инновационных методик педагогической диагностики. Из всех существующих на сегодняшний день методик диагностирования самой перспективной считаю тестирование, потому что они</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а) относительно краткосрочны, т.е. не требуют больших затрат времени;</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б) однозначны, т.е. не допускают произвольного толкования тестового задания;</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в) правильны, т.е. исключают возможность формулирования многозначных ответов;</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г) относительно кратки, требуют сжатых ответов;</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д) информационны, т.е. обеспечивают возможность соотнесения количественной оценки за выполнение теста с порядковой или интервальной шкалой измерений;</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е) удобны, т.е. пригодны для быстрой математической обработки результатов;</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ж) стандартны, т.е. пригодны для широкого практического использования – измерения уровня обученности возможно более широких контингентов обучаемых, овладевающих одинаковым объемом знаний на одном и том же уровне обучения.</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Verdana" w:eastAsia="Times New Roman" w:hAnsi="Verdana" w:cs="Times New Roman"/>
          <w:color w:val="000000"/>
          <w:sz w:val="27"/>
          <w:szCs w:val="27"/>
          <w:lang w:eastAsia="ru-RU"/>
        </w:rPr>
        <w:t> </w:t>
      </w:r>
      <w:r w:rsidRPr="00B35022">
        <w:rPr>
          <w:rFonts w:ascii="Times New Roman" w:eastAsia="Times New Roman" w:hAnsi="Times New Roman" w:cs="Times New Roman"/>
          <w:b/>
          <w:bCs/>
          <w:color w:val="000000"/>
          <w:sz w:val="28"/>
          <w:szCs w:val="28"/>
          <w:lang w:eastAsia="ru-RU"/>
        </w:rPr>
        <w:t>При подготовке материалов для тестового контроля придерживаюсь определенных правил:</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1. Не включаю ответы, неправильность которых на момент тестирования не может быть обоснована учащимися.</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2. Неправильные ответы должны конструироваться на основе типичных ошибок и должны быть правдоподобными.</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3. Правильные ответы располагаю среди всех предлагаемых ответов в случайном порядке.</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4. Вопросы не должны повторять формулировок учебника.</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t>5. Ответы на одни вопросы не должны служить подсказками для других.</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7"/>
          <w:szCs w:val="27"/>
          <w:lang w:eastAsia="ru-RU"/>
        </w:rPr>
        <w:lastRenderedPageBreak/>
        <w:t>6. Вопросы не должны содержать «ловушек».</w:t>
      </w:r>
    </w:p>
    <w:p w:rsidR="00B35022" w:rsidRPr="00B35022" w:rsidRDefault="00B35022" w:rsidP="00B35022">
      <w:pPr>
        <w:spacing w:after="0" w:line="240" w:lineRule="auto"/>
        <w:ind w:firstLine="708"/>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8"/>
          <w:szCs w:val="28"/>
          <w:lang w:eastAsia="ru-RU"/>
        </w:rPr>
        <w:t> Тесты обученности применяются на всех этапах дидактического процесса. С их помощью обеспечивается предварительный, текущий, тематический и итоговый контроль знаний, умений, учет успеваемости и академических достижений. Но не все необходимые характеристики усвоения можно получить с помощью тестирования. Такие, например, показатели, как умение конкретизировать свой ответ примерами, знание фактов, умение связанно и логически выражать свои мысли, некоторые другие характеристики знаний, умений, навыков диагностировать тестированием невозможно. Это значит, что тестирование должно обязательно сочетаться с другими формами и методами проверки.</w:t>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p>
    <w:p w:rsidR="00B35022" w:rsidRPr="00B35022" w:rsidRDefault="00B35022" w:rsidP="00B35022">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b/>
          <w:bCs/>
          <w:color w:val="000000"/>
          <w:sz w:val="36"/>
          <w:szCs w:val="36"/>
          <w:u w:val="single"/>
          <w:lang w:eastAsia="ru-RU"/>
        </w:rPr>
        <w:t>Курсовая подготовка</w:t>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8"/>
          <w:szCs w:val="28"/>
          <w:lang w:eastAsia="ru-RU"/>
        </w:rPr>
        <w:t>2011 г., ОГАОУ ДПО «Иркутский ИПКРО», «Инновации в сфере воспитания» ( 72 часа).</w:t>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8"/>
          <w:szCs w:val="28"/>
          <w:lang w:eastAsia="ru-RU"/>
        </w:rPr>
        <w:t>2012 г., АНОО «Информационно-технический образовательный центр» «Информационные–компьютерные технологии», г.Усть-Илимск (72 часа).</w:t>
      </w:r>
    </w:p>
    <w:p w:rsidR="00B35022" w:rsidRPr="00B35022" w:rsidRDefault="00B35022" w:rsidP="00B35022">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color w:val="000000"/>
          <w:sz w:val="28"/>
          <w:szCs w:val="28"/>
          <w:lang w:eastAsia="ru-RU"/>
        </w:rPr>
        <w:t>2012 г., ОГАОУ ДПО «Иркутский ИПКРО», «Комплексный учебный курс «Основы религиозных культур и светской этики»: концепция, содержание, методика преподавания» (72 часа).</w:t>
      </w:r>
    </w:p>
    <w:p w:rsidR="00B35022" w:rsidRPr="00B35022" w:rsidRDefault="00B35022" w:rsidP="00B35022">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B35022">
        <w:rPr>
          <w:rFonts w:ascii="Times New Roman" w:eastAsia="Times New Roman" w:hAnsi="Times New Roman" w:cs="Times New Roman"/>
          <w:b/>
          <w:bCs/>
          <w:color w:val="000000"/>
          <w:sz w:val="36"/>
          <w:szCs w:val="36"/>
          <w:u w:val="single"/>
          <w:lang w:eastAsia="ru-RU"/>
        </w:rPr>
        <w:t>Обобщение опыта работы</w:t>
      </w:r>
    </w:p>
    <w:tbl>
      <w:tblPr>
        <w:tblW w:w="9082" w:type="dxa"/>
        <w:tblInd w:w="250" w:type="dxa"/>
        <w:tblCellMar>
          <w:left w:w="0" w:type="dxa"/>
          <w:right w:w="0" w:type="dxa"/>
        </w:tblCellMar>
        <w:tblLook w:val="04A0" w:firstRow="1" w:lastRow="0" w:firstColumn="1" w:lastColumn="0" w:noHBand="0" w:noVBand="1"/>
      </w:tblPr>
      <w:tblGrid>
        <w:gridCol w:w="2234"/>
        <w:gridCol w:w="776"/>
        <w:gridCol w:w="3840"/>
        <w:gridCol w:w="2232"/>
      </w:tblGrid>
      <w:tr w:rsidR="00B35022" w:rsidRPr="00B35022" w:rsidTr="003939A8">
        <w:tc>
          <w:tcPr>
            <w:tcW w:w="2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Arial Black" w:eastAsia="Times New Roman" w:hAnsi="Arial Black" w:cs="Times New Roman"/>
                <w:sz w:val="24"/>
                <w:szCs w:val="24"/>
                <w:lang w:eastAsia="ru-RU"/>
              </w:rPr>
              <w:t>Уровень</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t>Год</w:t>
            </w:r>
          </w:p>
        </w:tc>
        <w:tc>
          <w:tcPr>
            <w:tcW w:w="3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t>Деятельность</w:t>
            </w:r>
          </w:p>
        </w:tc>
        <w:tc>
          <w:tcPr>
            <w:tcW w:w="2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t>Результат</w:t>
            </w:r>
          </w:p>
        </w:tc>
      </w:tr>
      <w:tr w:rsidR="00B35022" w:rsidRPr="00B35022" w:rsidTr="003939A8">
        <w:tc>
          <w:tcPr>
            <w:tcW w:w="22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t>Всероссийский</w:t>
            </w:r>
          </w:p>
        </w:tc>
        <w:tc>
          <w:tcPr>
            <w:tcW w:w="7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t>201</w:t>
            </w:r>
            <w:r w:rsidRPr="00B35022">
              <w:rPr>
                <w:rFonts w:ascii="Times New Roman" w:eastAsia="Times New Roman" w:hAnsi="Times New Roman" w:cs="Times New Roman"/>
                <w:sz w:val="28"/>
                <w:szCs w:val="28"/>
                <w:lang w:val="en-US" w:eastAsia="ru-RU"/>
              </w:rPr>
              <w:t>3</w:t>
            </w:r>
          </w:p>
        </w:tc>
        <w:tc>
          <w:tcPr>
            <w:tcW w:w="3840" w:type="dxa"/>
            <w:tcBorders>
              <w:top w:val="nil"/>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t> Методическая разработка «Внутренняя политика Александра </w:t>
            </w:r>
            <w:r w:rsidRPr="00B35022">
              <w:rPr>
                <w:rFonts w:ascii="Times New Roman" w:eastAsia="Times New Roman" w:hAnsi="Times New Roman" w:cs="Times New Roman"/>
                <w:sz w:val="28"/>
                <w:szCs w:val="28"/>
                <w:lang w:val="en-US" w:eastAsia="ru-RU"/>
              </w:rPr>
              <w:t>I</w:t>
            </w:r>
            <w:r w:rsidRPr="00B35022">
              <w:rPr>
                <w:rFonts w:ascii="Times New Roman" w:eastAsia="Times New Roman" w:hAnsi="Times New Roman" w:cs="Times New Roman"/>
                <w:sz w:val="28"/>
                <w:szCs w:val="28"/>
                <w:lang w:eastAsia="ru-RU"/>
              </w:rPr>
              <w:t>» в социальной сети работников образования  </w:t>
            </w:r>
            <w:r w:rsidRPr="00B35022">
              <w:rPr>
                <w:rFonts w:ascii="Times New Roman" w:eastAsia="Times New Roman" w:hAnsi="Times New Roman" w:cs="Times New Roman"/>
                <w:sz w:val="28"/>
                <w:szCs w:val="28"/>
                <w:lang w:val="en-US" w:eastAsia="ru-RU"/>
              </w:rPr>
              <w:t>nsportal</w:t>
            </w:r>
            <w:r w:rsidRPr="00B35022">
              <w:rPr>
                <w:rFonts w:ascii="Times New Roman" w:eastAsia="Times New Roman" w:hAnsi="Times New Roman" w:cs="Times New Roman"/>
                <w:sz w:val="28"/>
                <w:szCs w:val="28"/>
                <w:lang w:eastAsia="ru-RU"/>
              </w:rPr>
              <w:t>.</w:t>
            </w:r>
            <w:r w:rsidRPr="00B35022">
              <w:rPr>
                <w:rFonts w:ascii="Times New Roman" w:eastAsia="Times New Roman" w:hAnsi="Times New Roman" w:cs="Times New Roman"/>
                <w:sz w:val="28"/>
                <w:szCs w:val="28"/>
                <w:lang w:val="en-US" w:eastAsia="ru-RU"/>
              </w:rPr>
              <w:t>ru</w:t>
            </w:r>
            <w:r w:rsidRPr="00B35022">
              <w:rPr>
                <w:rFonts w:ascii="Times New Roman" w:eastAsia="Times New Roman" w:hAnsi="Times New Roman" w:cs="Times New Roman"/>
                <w:sz w:val="28"/>
                <w:szCs w:val="28"/>
                <w:lang w:eastAsia="ru-RU"/>
              </w:rPr>
              <w:t>.</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5022">
              <w:rPr>
                <w:rFonts w:ascii="Arial Black" w:eastAsia="Times New Roman" w:hAnsi="Arial Black" w:cs="Times New Roman"/>
                <w:b/>
                <w:bCs/>
                <w:sz w:val="24"/>
                <w:szCs w:val="24"/>
                <w:lang w:eastAsia="ru-RU"/>
              </w:rPr>
              <w:t>Свидетельство о публикации</w:t>
            </w:r>
          </w:p>
        </w:tc>
      </w:tr>
      <w:tr w:rsidR="00B35022" w:rsidRPr="00B35022" w:rsidTr="003939A8">
        <w:tc>
          <w:tcPr>
            <w:tcW w:w="0" w:type="auto"/>
            <w:vMerge/>
            <w:tcBorders>
              <w:top w:val="nil"/>
              <w:left w:val="single" w:sz="8" w:space="0" w:color="auto"/>
              <w:bottom w:val="single" w:sz="8" w:space="0" w:color="auto"/>
              <w:right w:val="single" w:sz="8" w:space="0" w:color="auto"/>
            </w:tcBorders>
            <w:vAlign w:val="center"/>
            <w:hideMark/>
          </w:tcPr>
          <w:p w:rsidR="00B35022" w:rsidRPr="00B35022" w:rsidRDefault="00B35022" w:rsidP="00B35022">
            <w:pPr>
              <w:spacing w:after="0" w:line="240" w:lineRule="auto"/>
              <w:rPr>
                <w:rFonts w:ascii="Verdana" w:eastAsia="Times New Roman" w:hAnsi="Verdana"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B35022" w:rsidRPr="00B35022" w:rsidRDefault="00B35022" w:rsidP="00B35022">
            <w:pPr>
              <w:spacing w:after="0" w:line="240" w:lineRule="auto"/>
              <w:rPr>
                <w:rFonts w:ascii="Verdana" w:eastAsia="Times New Roman" w:hAnsi="Verdana" w:cs="Times New Roman"/>
                <w:sz w:val="24"/>
                <w:szCs w:val="24"/>
                <w:lang w:eastAsia="ru-RU"/>
              </w:rPr>
            </w:pPr>
          </w:p>
        </w:tc>
        <w:tc>
          <w:tcPr>
            <w:tcW w:w="3840" w:type="dxa"/>
            <w:tcBorders>
              <w:top w:val="nil"/>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t> Методическая разработка по ОРКСЭ «Семья» в социальной сети работников образования  </w:t>
            </w:r>
            <w:r w:rsidRPr="00B35022">
              <w:rPr>
                <w:rFonts w:ascii="Times New Roman" w:eastAsia="Times New Roman" w:hAnsi="Times New Roman" w:cs="Times New Roman"/>
                <w:sz w:val="28"/>
                <w:szCs w:val="28"/>
                <w:lang w:val="en-US" w:eastAsia="ru-RU"/>
              </w:rPr>
              <w:t>nsportal</w:t>
            </w:r>
            <w:r w:rsidRPr="00B35022">
              <w:rPr>
                <w:rFonts w:ascii="Times New Roman" w:eastAsia="Times New Roman" w:hAnsi="Times New Roman" w:cs="Times New Roman"/>
                <w:sz w:val="28"/>
                <w:szCs w:val="28"/>
                <w:lang w:eastAsia="ru-RU"/>
              </w:rPr>
              <w:t>. </w:t>
            </w:r>
            <w:r w:rsidRPr="00B35022">
              <w:rPr>
                <w:rFonts w:ascii="Times New Roman" w:eastAsia="Times New Roman" w:hAnsi="Times New Roman" w:cs="Times New Roman"/>
                <w:sz w:val="28"/>
                <w:szCs w:val="28"/>
                <w:lang w:val="en-US" w:eastAsia="ru-RU"/>
              </w:rPr>
              <w:t>ru</w:t>
            </w:r>
            <w:r w:rsidRPr="00B35022">
              <w:rPr>
                <w:rFonts w:ascii="Times New Roman" w:eastAsia="Times New Roman" w:hAnsi="Times New Roman" w:cs="Times New Roman"/>
                <w:sz w:val="28"/>
                <w:szCs w:val="28"/>
                <w:lang w:eastAsia="ru-RU"/>
              </w:rPr>
              <w:t>.</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5022">
              <w:rPr>
                <w:rFonts w:ascii="Arial Black" w:eastAsia="Times New Roman" w:hAnsi="Arial Black" w:cs="Times New Roman"/>
                <w:b/>
                <w:bCs/>
                <w:sz w:val="24"/>
                <w:szCs w:val="24"/>
                <w:lang w:eastAsia="ru-RU"/>
              </w:rPr>
              <w:t>Свидетельство о публикации</w:t>
            </w:r>
          </w:p>
        </w:tc>
      </w:tr>
      <w:tr w:rsidR="00B35022" w:rsidRPr="00B35022" w:rsidTr="003939A8">
        <w:tc>
          <w:tcPr>
            <w:tcW w:w="0" w:type="auto"/>
            <w:vMerge/>
            <w:tcBorders>
              <w:top w:val="nil"/>
              <w:left w:val="single" w:sz="8" w:space="0" w:color="auto"/>
              <w:bottom w:val="single" w:sz="8" w:space="0" w:color="auto"/>
              <w:right w:val="single" w:sz="8" w:space="0" w:color="auto"/>
            </w:tcBorders>
            <w:vAlign w:val="center"/>
            <w:hideMark/>
          </w:tcPr>
          <w:p w:rsidR="00B35022" w:rsidRPr="00B35022" w:rsidRDefault="00B35022" w:rsidP="00B35022">
            <w:pPr>
              <w:spacing w:after="0" w:line="240" w:lineRule="auto"/>
              <w:rPr>
                <w:rFonts w:ascii="Verdana" w:eastAsia="Times New Roman" w:hAnsi="Verdana"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B35022" w:rsidRPr="00B35022" w:rsidRDefault="00B35022" w:rsidP="00B35022">
            <w:pPr>
              <w:spacing w:after="0" w:line="240" w:lineRule="auto"/>
              <w:rPr>
                <w:rFonts w:ascii="Verdana" w:eastAsia="Times New Roman" w:hAnsi="Verdana" w:cs="Times New Roman"/>
                <w:sz w:val="24"/>
                <w:szCs w:val="24"/>
                <w:lang w:eastAsia="ru-RU"/>
              </w:rPr>
            </w:pPr>
          </w:p>
        </w:tc>
        <w:tc>
          <w:tcPr>
            <w:tcW w:w="3840" w:type="dxa"/>
            <w:tcBorders>
              <w:top w:val="nil"/>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t> Статья в сборнике материалов </w:t>
            </w:r>
            <w:r w:rsidRPr="00B35022">
              <w:rPr>
                <w:rFonts w:ascii="Times New Roman" w:eastAsia="Times New Roman" w:hAnsi="Times New Roman" w:cs="Times New Roman"/>
                <w:sz w:val="28"/>
                <w:szCs w:val="28"/>
                <w:lang w:val="en-US" w:eastAsia="ru-RU"/>
              </w:rPr>
              <w:t>IV</w:t>
            </w:r>
            <w:r w:rsidRPr="00B35022">
              <w:rPr>
                <w:rFonts w:ascii="Times New Roman" w:eastAsia="Times New Roman" w:hAnsi="Times New Roman" w:cs="Times New Roman"/>
                <w:sz w:val="28"/>
                <w:szCs w:val="28"/>
                <w:lang w:eastAsia="ru-RU"/>
              </w:rPr>
              <w:t xml:space="preserve"> Всероссийской научно- практической конференции «Актуальные проблемы образования: теория и практика»  Усть-Илимский филиал </w:t>
            </w:r>
            <w:r w:rsidRPr="00B35022">
              <w:rPr>
                <w:rFonts w:ascii="Times New Roman" w:eastAsia="Times New Roman" w:hAnsi="Times New Roman" w:cs="Times New Roman"/>
                <w:sz w:val="28"/>
                <w:szCs w:val="28"/>
                <w:lang w:eastAsia="ru-RU"/>
              </w:rPr>
              <w:lastRenderedPageBreak/>
              <w:t>ФГБОУ  ВПО «ВСГАО».</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lastRenderedPageBreak/>
              <w:t>Сертификат о публикации</w:t>
            </w:r>
          </w:p>
        </w:tc>
      </w:tr>
      <w:tr w:rsidR="00B35022" w:rsidRPr="00B35022" w:rsidTr="003939A8">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lastRenderedPageBreak/>
              <w:t>Муниципальный</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t>2012</w:t>
            </w:r>
          </w:p>
        </w:tc>
        <w:tc>
          <w:tcPr>
            <w:tcW w:w="3840" w:type="dxa"/>
            <w:tcBorders>
              <w:top w:val="nil"/>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t>Городской семинар «Реализация системно- деятельностного подхода в урочной и внеурочной деятельности как основа реализации ФГОС»,  «Отечественная война 1812 года», 8к класс.</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B35022" w:rsidRPr="00B35022" w:rsidRDefault="00B35022" w:rsidP="00B35022">
            <w:pPr>
              <w:spacing w:before="100" w:beforeAutospacing="1" w:after="100" w:afterAutospacing="1" w:line="240" w:lineRule="auto"/>
              <w:jc w:val="center"/>
              <w:rPr>
                <w:rFonts w:ascii="Verdana" w:eastAsia="Times New Roman" w:hAnsi="Verdana" w:cs="Times New Roman"/>
                <w:sz w:val="24"/>
                <w:szCs w:val="24"/>
                <w:lang w:eastAsia="ru-RU"/>
              </w:rPr>
            </w:pPr>
            <w:r w:rsidRPr="00B35022">
              <w:rPr>
                <w:rFonts w:ascii="Times New Roman" w:eastAsia="Times New Roman" w:hAnsi="Times New Roman" w:cs="Times New Roman"/>
                <w:sz w:val="28"/>
                <w:szCs w:val="28"/>
                <w:lang w:eastAsia="ru-RU"/>
              </w:rPr>
              <w:t>Сертификат участника</w:t>
            </w:r>
          </w:p>
        </w:tc>
      </w:tr>
    </w:tbl>
    <w:p w:rsidR="003939A8" w:rsidRPr="00AB1085" w:rsidRDefault="003939A8" w:rsidP="003939A8">
      <w:pPr>
        <w:pStyle w:val="a3"/>
        <w:spacing w:before="4" w:line="321" w:lineRule="exact"/>
        <w:ind w:right="9" w:firstLine="206"/>
        <w:jc w:val="both"/>
        <w:rPr>
          <w:sz w:val="26"/>
          <w:szCs w:val="26"/>
          <w:lang w:bidi="he-IL"/>
        </w:rPr>
      </w:pPr>
      <w:r>
        <w:rPr>
          <w:sz w:val="26"/>
          <w:szCs w:val="26"/>
          <w:lang w:bidi="he-IL"/>
        </w:rPr>
        <w:t xml:space="preserve">Качество знаний по истории и обществознанию при </w:t>
      </w:r>
      <w:r w:rsidRPr="00AB1085">
        <w:rPr>
          <w:sz w:val="26"/>
          <w:szCs w:val="26"/>
          <w:lang w:bidi="he-IL"/>
        </w:rPr>
        <w:t xml:space="preserve">100% успеваемости составило: </w:t>
      </w:r>
    </w:p>
    <w:p w:rsidR="003939A8" w:rsidRDefault="003939A8" w:rsidP="003939A8"/>
    <w:p w:rsidR="003939A8" w:rsidRDefault="003939A8" w:rsidP="003939A8">
      <w:r w:rsidRPr="007A7A94">
        <w:rPr>
          <w:noProof/>
          <w:lang w:eastAsia="ru-RU"/>
        </w:rPr>
        <w:drawing>
          <wp:inline distT="0" distB="0" distL="0" distR="0">
            <wp:extent cx="4581525" cy="33432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939A8" w:rsidRDefault="003939A8" w:rsidP="003939A8"/>
    <w:p w:rsidR="003939A8" w:rsidRDefault="003939A8" w:rsidP="003939A8">
      <w:pPr>
        <w:widowControl w:val="0"/>
        <w:autoSpaceDE w:val="0"/>
        <w:autoSpaceDN w:val="0"/>
        <w:adjustRightInd w:val="0"/>
        <w:spacing w:before="4" w:after="0" w:line="321" w:lineRule="exact"/>
        <w:ind w:right="9" w:firstLine="206"/>
        <w:jc w:val="both"/>
        <w:rPr>
          <w:rFonts w:ascii="Times New Roman" w:eastAsia="Times New Roman" w:hAnsi="Times New Roman"/>
          <w:sz w:val="26"/>
          <w:szCs w:val="26"/>
          <w:lang w:eastAsia="ru-RU" w:bidi="he-IL"/>
        </w:rPr>
      </w:pPr>
      <w:r>
        <w:rPr>
          <w:rFonts w:ascii="Times New Roman" w:eastAsia="Times New Roman" w:hAnsi="Times New Roman"/>
          <w:sz w:val="26"/>
          <w:szCs w:val="26"/>
          <w:lang w:eastAsia="ru-RU" w:bidi="he-IL"/>
        </w:rPr>
        <w:t>Р</w:t>
      </w:r>
      <w:r w:rsidRPr="008C4D58">
        <w:rPr>
          <w:rFonts w:ascii="Times New Roman" w:eastAsia="Times New Roman" w:hAnsi="Times New Roman"/>
          <w:sz w:val="26"/>
          <w:szCs w:val="26"/>
          <w:lang w:eastAsia="ru-RU" w:bidi="he-IL"/>
        </w:rPr>
        <w:t>е</w:t>
      </w:r>
      <w:r w:rsidRPr="008C4D58">
        <w:rPr>
          <w:rFonts w:ascii="Times New Roman" w:eastAsia="Times New Roman" w:hAnsi="Times New Roman"/>
          <w:sz w:val="26"/>
          <w:szCs w:val="26"/>
          <w:lang w:eastAsia="ru-RU" w:bidi="he-IL"/>
        </w:rPr>
        <w:softHyphen/>
      </w:r>
      <w:r>
        <w:rPr>
          <w:rFonts w:ascii="Times New Roman" w:eastAsia="Times New Roman" w:hAnsi="Times New Roman"/>
          <w:sz w:val="26"/>
          <w:szCs w:val="26"/>
          <w:lang w:eastAsia="ru-RU" w:bidi="he-IL"/>
        </w:rPr>
        <w:t>зультаты</w:t>
      </w:r>
      <w:r w:rsidRPr="008C4D58">
        <w:rPr>
          <w:rFonts w:ascii="Times New Roman" w:eastAsia="Times New Roman" w:hAnsi="Times New Roman"/>
          <w:sz w:val="26"/>
          <w:szCs w:val="26"/>
          <w:lang w:eastAsia="ru-RU" w:bidi="he-IL"/>
        </w:rPr>
        <w:t xml:space="preserve"> </w:t>
      </w:r>
      <w:r w:rsidRPr="00847758">
        <w:rPr>
          <w:rFonts w:ascii="Times New Roman" w:eastAsia="Times New Roman" w:hAnsi="Times New Roman"/>
          <w:sz w:val="26"/>
          <w:szCs w:val="26"/>
          <w:lang w:eastAsia="ru-RU" w:bidi="he-IL"/>
        </w:rPr>
        <w:t>государственной итоговой аттестации учащихся 9-х классов в 2011-2012 уч.г. :</w:t>
      </w:r>
      <w:r w:rsidRPr="008C4D58">
        <w:rPr>
          <w:rFonts w:ascii="Times New Roman" w:eastAsia="Times New Roman" w:hAnsi="Times New Roman"/>
          <w:sz w:val="26"/>
          <w:szCs w:val="26"/>
          <w:lang w:eastAsia="ru-RU" w:bidi="he-IL"/>
        </w:rPr>
        <w:t xml:space="preserve"> </w:t>
      </w:r>
    </w:p>
    <w:p w:rsidR="003939A8" w:rsidRDefault="003939A8" w:rsidP="003939A8">
      <w:pPr>
        <w:widowControl w:val="0"/>
        <w:autoSpaceDE w:val="0"/>
        <w:autoSpaceDN w:val="0"/>
        <w:adjustRightInd w:val="0"/>
        <w:spacing w:before="4" w:after="0" w:line="321" w:lineRule="exact"/>
        <w:ind w:right="9" w:firstLine="206"/>
        <w:jc w:val="both"/>
        <w:rPr>
          <w:rFonts w:ascii="Times New Roman" w:eastAsia="Times New Roman" w:hAnsi="Times New Roman"/>
          <w:sz w:val="26"/>
          <w:szCs w:val="26"/>
          <w:lang w:eastAsia="ru-RU" w:bidi="he-IL"/>
        </w:rPr>
      </w:pPr>
    </w:p>
    <w:p w:rsidR="003939A8" w:rsidRDefault="003939A8" w:rsidP="003939A8">
      <w:pPr>
        <w:widowControl w:val="0"/>
        <w:autoSpaceDE w:val="0"/>
        <w:autoSpaceDN w:val="0"/>
        <w:adjustRightInd w:val="0"/>
        <w:spacing w:before="4" w:after="0" w:line="321" w:lineRule="exact"/>
        <w:ind w:right="9"/>
        <w:jc w:val="both"/>
        <w:rPr>
          <w:rFonts w:ascii="Times New Roman" w:eastAsia="Times New Roman" w:hAnsi="Times New Roman"/>
          <w:sz w:val="26"/>
          <w:szCs w:val="26"/>
          <w:lang w:eastAsia="ru-RU" w:bidi="he-IL"/>
        </w:rPr>
      </w:pPr>
    </w:p>
    <w:p w:rsidR="003939A8" w:rsidRPr="008C4D58" w:rsidRDefault="003939A8" w:rsidP="003939A8">
      <w:pPr>
        <w:widowControl w:val="0"/>
        <w:autoSpaceDE w:val="0"/>
        <w:autoSpaceDN w:val="0"/>
        <w:adjustRightInd w:val="0"/>
        <w:spacing w:before="4" w:after="0" w:line="321" w:lineRule="exact"/>
        <w:ind w:right="9" w:firstLine="206"/>
        <w:jc w:val="both"/>
        <w:rPr>
          <w:rFonts w:ascii="Times New Roman" w:eastAsia="Times New Roman" w:hAnsi="Times New Roman"/>
          <w:sz w:val="26"/>
          <w:szCs w:val="26"/>
          <w:lang w:eastAsia="ru-RU" w:bidi="he-IL"/>
        </w:rPr>
      </w:pPr>
      <w:r>
        <w:rPr>
          <w:noProof/>
          <w:lang w:eastAsia="ru-RU"/>
        </w:rPr>
        <w:drawing>
          <wp:anchor distT="0" distB="0" distL="114300" distR="114300" simplePos="0" relativeHeight="251659264" behindDoc="0" locked="0" layoutInCell="1" allowOverlap="1">
            <wp:simplePos x="0" y="0"/>
            <wp:positionH relativeFrom="column">
              <wp:posOffset>-190500</wp:posOffset>
            </wp:positionH>
            <wp:positionV relativeFrom="paragraph">
              <wp:posOffset>213995</wp:posOffset>
            </wp:positionV>
            <wp:extent cx="4748530" cy="3359785"/>
            <wp:effectExtent l="3810" t="0" r="635" b="3810"/>
            <wp:wrapSquare wrapText="bothSides"/>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rsidR="005A6568" w:rsidRDefault="005A6568">
      <w:bookmarkStart w:id="0" w:name="_GoBack"/>
      <w:bookmarkEnd w:id="0"/>
    </w:p>
    <w:sectPr w:rsidR="005A6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mbria">
    <w:altName w:val="Palatino Linotype"/>
    <w:panose1 w:val="02040503050406030204"/>
    <w:charset w:val="CC"/>
    <w:family w:val="roman"/>
    <w:pitch w:val="variable"/>
    <w:sig w:usb0="00000001"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22"/>
    <w:rsid w:val="00003A3B"/>
    <w:rsid w:val="003939A8"/>
    <w:rsid w:val="005A6568"/>
    <w:rsid w:val="00B35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0563A-4EAF-4C77-8603-698B0E59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939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2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v>история</c:v>
          </c:tx>
          <c:spPr>
            <a:solidFill>
              <a:srgbClr val="FFC000"/>
            </a:solidFill>
          </c:spPr>
          <c:invertIfNegative val="0"/>
          <c:dLbls>
            <c:spPr>
              <a:noFill/>
              <a:ln>
                <a:noFill/>
              </a:ln>
              <a:effectLst/>
            </c:spPr>
            <c:txPr>
              <a:bodyPr/>
              <a:lstStyle/>
              <a:p>
                <a:pPr>
                  <a:defRPr sz="1599" b="1">
                    <a:solidFill>
                      <a:srgbClr val="FFC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Лист1!$C$3:$D$3</c:f>
              <c:strCache>
                <c:ptCount val="2"/>
                <c:pt idx="0">
                  <c:v>2011-2012</c:v>
                </c:pt>
                <c:pt idx="1">
                  <c:v>2012-2013</c:v>
                </c:pt>
              </c:strCache>
            </c:strRef>
          </c:cat>
          <c:val>
            <c:numRef>
              <c:f>Лист1!$C$4:$D$4</c:f>
              <c:numCache>
                <c:formatCode>0%</c:formatCode>
                <c:ptCount val="2"/>
                <c:pt idx="0">
                  <c:v>0.45</c:v>
                </c:pt>
                <c:pt idx="1">
                  <c:v>0.46</c:v>
                </c:pt>
              </c:numCache>
            </c:numRef>
          </c:val>
        </c:ser>
        <c:ser>
          <c:idx val="1"/>
          <c:order val="1"/>
          <c:tx>
            <c:v>обществознание</c:v>
          </c:tx>
          <c:spPr>
            <a:solidFill>
              <a:srgbClr val="00B050"/>
            </a:solidFill>
          </c:spPr>
          <c:invertIfNegative val="0"/>
          <c:dLbls>
            <c:spPr>
              <a:noFill/>
              <a:ln>
                <a:noFill/>
              </a:ln>
              <a:effectLst/>
            </c:spPr>
            <c:txPr>
              <a:bodyPr/>
              <a:lstStyle/>
              <a:p>
                <a:pPr>
                  <a:defRPr sz="1799" b="1">
                    <a:solidFill>
                      <a:srgbClr val="00B05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Лист1!$C$3:$D$3</c:f>
              <c:strCache>
                <c:ptCount val="2"/>
                <c:pt idx="0">
                  <c:v>2011-2012</c:v>
                </c:pt>
                <c:pt idx="1">
                  <c:v>2012-2013</c:v>
                </c:pt>
              </c:strCache>
            </c:strRef>
          </c:cat>
          <c:val>
            <c:numRef>
              <c:f>Лист1!$C$5:$D$5</c:f>
              <c:numCache>
                <c:formatCode>0%</c:formatCode>
                <c:ptCount val="2"/>
                <c:pt idx="0">
                  <c:v>0.64</c:v>
                </c:pt>
                <c:pt idx="1">
                  <c:v>0.64</c:v>
                </c:pt>
              </c:numCache>
            </c:numRef>
          </c:val>
        </c:ser>
        <c:dLbls>
          <c:showLegendKey val="0"/>
          <c:showVal val="0"/>
          <c:showCatName val="0"/>
          <c:showSerName val="0"/>
          <c:showPercent val="0"/>
          <c:showBubbleSize val="0"/>
        </c:dLbls>
        <c:gapWidth val="150"/>
        <c:shape val="cylinder"/>
        <c:axId val="269302096"/>
        <c:axId val="269303272"/>
        <c:axId val="0"/>
      </c:bar3DChart>
      <c:catAx>
        <c:axId val="269302096"/>
        <c:scaling>
          <c:orientation val="minMax"/>
        </c:scaling>
        <c:delete val="0"/>
        <c:axPos val="b"/>
        <c:numFmt formatCode="General" sourceLinked="1"/>
        <c:majorTickMark val="out"/>
        <c:minorTickMark val="none"/>
        <c:tickLblPos val="nextTo"/>
        <c:crossAx val="269303272"/>
        <c:crosses val="autoZero"/>
        <c:auto val="1"/>
        <c:lblAlgn val="ctr"/>
        <c:lblOffset val="100"/>
        <c:noMultiLvlLbl val="0"/>
      </c:catAx>
      <c:valAx>
        <c:axId val="269303272"/>
        <c:scaling>
          <c:orientation val="minMax"/>
        </c:scaling>
        <c:delete val="0"/>
        <c:axPos val="l"/>
        <c:majorGridlines/>
        <c:numFmt formatCode="0%" sourceLinked="1"/>
        <c:majorTickMark val="out"/>
        <c:minorTickMark val="none"/>
        <c:tickLblPos val="nextTo"/>
        <c:crossAx val="269302096"/>
        <c:crosses val="autoZero"/>
        <c:crossBetween val="between"/>
      </c:valAx>
      <c:spPr>
        <a:noFill/>
        <a:ln w="25383">
          <a:noFill/>
        </a:ln>
      </c:spPr>
    </c:plotArea>
    <c:legend>
      <c:legendPos val="t"/>
      <c:overlay val="0"/>
      <c:txPr>
        <a:bodyPr/>
        <a:lstStyle/>
        <a:p>
          <a:pPr>
            <a:defRPr sz="1599"/>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7083313933254429"/>
          <c:y val="0.23175357797256474"/>
          <c:w val="0.8115935596206848"/>
          <c:h val="0.68949239835586584"/>
        </c:manualLayout>
      </c:layout>
      <c:bar3DChart>
        <c:barDir val="col"/>
        <c:grouping val="clustered"/>
        <c:varyColors val="0"/>
        <c:ser>
          <c:idx val="0"/>
          <c:order val="0"/>
          <c:tx>
            <c:v>успеваемость</c:v>
          </c:tx>
          <c:spPr>
            <a:solidFill>
              <a:srgbClr val="00B050"/>
            </a:solidFill>
          </c:spPr>
          <c:invertIfNegative val="0"/>
          <c:dLbls>
            <c:dLbl>
              <c:idx val="0"/>
              <c:layout>
                <c:manualLayout>
                  <c:x val="0"/>
                  <c:y val="-2.469135802469136E-2"/>
                </c:manualLayout>
              </c:layout>
              <c:spPr/>
              <c:txPr>
                <a:bodyPr/>
                <a:lstStyle/>
                <a:p>
                  <a:pPr>
                    <a:defRPr sz="1202" b="1" i="0" u="none" strike="noStrike" baseline="0">
                      <a:solidFill>
                        <a:srgbClr val="339966"/>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292181069958848E-2"/>
                </c:manualLayout>
              </c:layout>
              <c:spPr/>
              <c:txPr>
                <a:bodyPr/>
                <a:lstStyle/>
                <a:p>
                  <a:pPr>
                    <a:defRPr sz="1202" b="1" i="0" u="none" strike="noStrike" baseline="0">
                      <a:solidFill>
                        <a:srgbClr val="339966"/>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2" b="1" i="0" u="none" strike="noStrike" baseline="0">
                    <a:solidFill>
                      <a:srgbClr val="339966"/>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Лист2!$C$2:$D$2</c:f>
              <c:strCache>
                <c:ptCount val="2"/>
                <c:pt idx="0">
                  <c:v>история</c:v>
                </c:pt>
                <c:pt idx="1">
                  <c:v>обществознание</c:v>
                </c:pt>
              </c:strCache>
            </c:strRef>
          </c:cat>
          <c:val>
            <c:numRef>
              <c:f>Лист2!$C$3:$D$3</c:f>
              <c:numCache>
                <c:formatCode>0%</c:formatCode>
                <c:ptCount val="2"/>
                <c:pt idx="0">
                  <c:v>1</c:v>
                </c:pt>
                <c:pt idx="1">
                  <c:v>1</c:v>
                </c:pt>
              </c:numCache>
            </c:numRef>
          </c:val>
        </c:ser>
        <c:ser>
          <c:idx val="1"/>
          <c:order val="1"/>
          <c:tx>
            <c:v>качество</c:v>
          </c:tx>
          <c:spPr>
            <a:solidFill>
              <a:srgbClr val="FFC000"/>
            </a:solidFill>
          </c:spPr>
          <c:invertIfNegative val="0"/>
          <c:dLbls>
            <c:dLbl>
              <c:idx val="0"/>
              <c:layout>
                <c:manualLayout>
                  <c:x val="5.2777777777777778E-2"/>
                  <c:y val="-3.2921810699588515E-2"/>
                </c:manualLayout>
              </c:layout>
              <c:spPr/>
              <c:txPr>
                <a:bodyPr/>
                <a:lstStyle/>
                <a:p>
                  <a:pPr>
                    <a:defRPr sz="1202" b="0" i="0" u="none" strike="noStrike" baseline="0">
                      <a:solidFill>
                        <a:srgbClr val="FF66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3.6111111111111108E-2"/>
                  <c:y val="-5.7613168724279837E-2"/>
                </c:manualLayout>
              </c:layout>
              <c:spPr/>
              <c:txPr>
                <a:bodyPr/>
                <a:lstStyle/>
                <a:p>
                  <a:pPr>
                    <a:defRPr sz="1202" b="0" i="0" u="none" strike="noStrike" baseline="0">
                      <a:solidFill>
                        <a:srgbClr val="FF66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2" b="0" i="0" u="none" strike="noStrike" baseline="0">
                    <a:solidFill>
                      <a:srgbClr val="FF66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Лист2!$C$2:$D$2</c:f>
              <c:strCache>
                <c:ptCount val="2"/>
                <c:pt idx="0">
                  <c:v>история</c:v>
                </c:pt>
                <c:pt idx="1">
                  <c:v>обществознание</c:v>
                </c:pt>
              </c:strCache>
            </c:strRef>
          </c:cat>
          <c:val>
            <c:numRef>
              <c:f>Лист2!$C$4:$D$4</c:f>
              <c:numCache>
                <c:formatCode>0%</c:formatCode>
                <c:ptCount val="2"/>
                <c:pt idx="0">
                  <c:v>0.67</c:v>
                </c:pt>
                <c:pt idx="1">
                  <c:v>0.35</c:v>
                </c:pt>
              </c:numCache>
            </c:numRef>
          </c:val>
        </c:ser>
        <c:dLbls>
          <c:showLegendKey val="0"/>
          <c:showVal val="0"/>
          <c:showCatName val="0"/>
          <c:showSerName val="0"/>
          <c:showPercent val="0"/>
          <c:showBubbleSize val="0"/>
        </c:dLbls>
        <c:gapWidth val="150"/>
        <c:shape val="cylinder"/>
        <c:axId val="269252640"/>
        <c:axId val="269249504"/>
        <c:axId val="0"/>
      </c:bar3DChart>
      <c:catAx>
        <c:axId val="269252640"/>
        <c:scaling>
          <c:orientation val="minMax"/>
        </c:scaling>
        <c:delete val="0"/>
        <c:axPos val="b"/>
        <c:numFmt formatCode="General" sourceLinked="1"/>
        <c:majorTickMark val="out"/>
        <c:minorTickMark val="none"/>
        <c:tickLblPos val="nextTo"/>
        <c:txPr>
          <a:bodyPr rot="0" vert="horz"/>
          <a:lstStyle/>
          <a:p>
            <a:pPr>
              <a:defRPr sz="1102" b="0" i="0" u="none" strike="noStrike" baseline="0">
                <a:solidFill>
                  <a:srgbClr val="000000"/>
                </a:solidFill>
                <a:latin typeface="Calibri"/>
                <a:ea typeface="Calibri"/>
                <a:cs typeface="Calibri"/>
              </a:defRPr>
            </a:pPr>
            <a:endParaRPr lang="ru-RU"/>
          </a:p>
        </c:txPr>
        <c:crossAx val="269249504"/>
        <c:crosses val="autoZero"/>
        <c:auto val="1"/>
        <c:lblAlgn val="ctr"/>
        <c:lblOffset val="100"/>
        <c:noMultiLvlLbl val="0"/>
      </c:catAx>
      <c:valAx>
        <c:axId val="269249504"/>
        <c:scaling>
          <c:orientation val="minMax"/>
        </c:scaling>
        <c:delete val="0"/>
        <c:axPos val="l"/>
        <c:majorGridlines/>
        <c:numFmt formatCode="0%" sourceLinked="1"/>
        <c:majorTickMark val="out"/>
        <c:minorTickMark val="none"/>
        <c:tickLblPos val="nextTo"/>
        <c:txPr>
          <a:bodyPr rot="0" vert="horz"/>
          <a:lstStyle/>
          <a:p>
            <a:pPr>
              <a:defRPr sz="1002" b="0" i="0" u="none" strike="noStrike" baseline="0">
                <a:solidFill>
                  <a:srgbClr val="000000"/>
                </a:solidFill>
                <a:latin typeface="Calibri"/>
                <a:ea typeface="Calibri"/>
                <a:cs typeface="Calibri"/>
              </a:defRPr>
            </a:pPr>
            <a:endParaRPr lang="ru-RU"/>
          </a:p>
        </c:txPr>
        <c:crossAx val="269252640"/>
        <c:crosses val="autoZero"/>
        <c:crossBetween val="between"/>
      </c:valAx>
      <c:spPr>
        <a:noFill/>
        <a:ln w="25453">
          <a:noFill/>
        </a:ln>
      </c:spPr>
    </c:plotArea>
    <c:legend>
      <c:legendPos val="t"/>
      <c:legendEntry>
        <c:idx val="0"/>
        <c:txPr>
          <a:bodyPr/>
          <a:lstStyle/>
          <a:p>
            <a:pPr>
              <a:defRPr sz="1012" b="0" i="0" u="none" strike="noStrike" baseline="0">
                <a:solidFill>
                  <a:srgbClr val="000000"/>
                </a:solidFill>
                <a:latin typeface="Calibri"/>
                <a:ea typeface="Calibri"/>
                <a:cs typeface="Calibri"/>
              </a:defRPr>
            </a:pPr>
            <a:endParaRPr lang="ru-RU"/>
          </a:p>
        </c:txPr>
      </c:legendEntry>
      <c:legendEntry>
        <c:idx val="1"/>
        <c:txPr>
          <a:bodyPr/>
          <a:lstStyle/>
          <a:p>
            <a:pPr>
              <a:defRPr sz="1012" b="0" i="0" u="none" strike="noStrike" baseline="0">
                <a:solidFill>
                  <a:srgbClr val="000000"/>
                </a:solidFill>
                <a:latin typeface="Calibri"/>
                <a:ea typeface="Calibri"/>
                <a:cs typeface="Calibri"/>
              </a:defRPr>
            </a:pPr>
            <a:endParaRPr lang="ru-RU"/>
          </a:p>
        </c:txPr>
      </c:legendEntry>
      <c:layout>
        <c:manualLayout>
          <c:xMode val="edge"/>
          <c:yMode val="edge"/>
          <c:x val="0.33054654615811624"/>
          <c:y val="0.11126275882181394"/>
          <c:w val="0.46581879523786424"/>
          <c:h val="7.4415434912741163E-2"/>
        </c:manualLayout>
      </c:layout>
      <c:overlay val="0"/>
      <c:txPr>
        <a:bodyPr/>
        <a:lstStyle/>
        <a:p>
          <a:pPr>
            <a:defRPr sz="1012"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2"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dc:creator>
  <cp:lastModifiedBy>Yxapb</cp:lastModifiedBy>
  <cp:revision>2</cp:revision>
  <dcterms:created xsi:type="dcterms:W3CDTF">2014-02-14T07:08:00Z</dcterms:created>
  <dcterms:modified xsi:type="dcterms:W3CDTF">2014-02-16T23:26:00Z</dcterms:modified>
</cp:coreProperties>
</file>