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D5973" w:rsidRPr="00F06E3B" w:rsidTr="00BC454F">
        <w:trPr>
          <w:trHeight w:val="12104"/>
          <w:tblCellSpacing w:w="0" w:type="dxa"/>
        </w:trPr>
        <w:tc>
          <w:tcPr>
            <w:tcW w:w="5000" w:type="pct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tbl>
            <w:tblPr>
              <w:tblW w:w="349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30"/>
            </w:tblGrid>
            <w:tr w:rsidR="00F06E3B" w:rsidRPr="00F06E3B" w:rsidTr="00F06E3B">
              <w:trPr>
                <w:tblCellSpacing w:w="15" w:type="dxa"/>
              </w:trPr>
              <w:tc>
                <w:tcPr>
                  <w:tcW w:w="4954" w:type="pct"/>
                  <w:tcMar>
                    <w:top w:w="15" w:type="dxa"/>
                    <w:left w:w="15" w:type="dxa"/>
                    <w:bottom w:w="15" w:type="dxa"/>
                    <w:right w:w="225" w:type="dxa"/>
                  </w:tcMar>
                  <w:hideMark/>
                </w:tcPr>
                <w:p w:rsidR="00F06E3B" w:rsidRPr="00F06E3B" w:rsidRDefault="00BC454F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Празднование 200 -лети Бородинской битвы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Вопрос не праздный. В нем намек на заполонившие многие СМИ сообщения о том, что знаменитое Бородинское поле стали захватывать новоявленные нувориши-дачники и «могильщики». Особенно нашумело заявление исполнявшего обязанности руководителя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Росохранкультуры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Виктора Петракова: «В сентябре 2012 года, когда гости приедут на Бородинское поле, его могут не увидеть, вокруг памятников всюду будут коттеджи». В этой связи министр правительства Москвы Александр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Кибовский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, заявил, «все незаконные постройки в пределах границ Государственного Бородинского заповедника будут снесены по решению суда». Одним словом, скандал. Причем, как выясняется, Бородинскому полю угрожают не только любители загородных особняков. Прямо у памятника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Нежинским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гусарам было предложено </w:t>
                  </w:r>
                  <w:proofErr w:type="gram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разместить</w:t>
                  </w:r>
                  <w:proofErr w:type="gram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новое кладбище. 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Так что накануне празднования 200-летия победы России в Отечественной войне 1812 года вокруг Бородинского поля разыгрывается какая-то мистерия. Участились публикации, в которых утверждается, что никакой заслуги русских войск в разгроме Наполеона не было. А в подмосковном Троицке в рамках подготовки к предстоящему юбилею некоторые «энтузиасты» выступили с инициативой поставить памятник Наполеону: мол, он посещал местную усадьбу во время нашествия. И как все совпало! В Европе вновь стали возвеличивать императора Франции Наполеона, выставлять его в качестве «предтечи Евросоюза». И его поражения на российских просторах пытаются объяснить только фактором «русских морозов». 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Вот почему мы молодому водителю объясняем: «Нет, мы приехали на Бородинское поле не за компроматом, а за историей!». «Тогда добро пожаловать!», - слышим в ответ. - Но сейчас вы вряд ли что-либо увидите, потому что музей и многие памятники находятся на реставрации, местные власти готовятся к празднованию юбилея войны 1812 года. Ждем гостей со всего мира». Пока же по пути следования в сторону деревни Бородино из окон автомашины видим несколько памятников, установленных вдоль дороги: вот засыпанные снегом, но четко выделяющиеся знаменитые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Багратионовы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флеши – укрепления левого фланга русской </w:t>
                  </w: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lastRenderedPageBreak/>
                    <w:t>армии. Здесь, близ деревни Семеновское, он был смертельно ранен; говорят, что его могила находится на холме у батареи Раевского. Это главный памятник Бородинского поля, но это и главная загадка, над которой бьются историки.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lang w:eastAsia="ru-RU"/>
                    </w:rPr>
                    <w:drawing>
                      <wp:inline distT="0" distB="0" distL="0" distR="0">
                        <wp:extent cx="2190750" cy="1457325"/>
                        <wp:effectExtent l="19050" t="0" r="0" b="0"/>
                        <wp:docPr id="15" name="Рисунок 1" descr="Битва за Бородино продолжается спустя 200 ле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Битва за Бородино продолжается спустя 200 ле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  <w:t>Нашествие языков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22 июня 1812 года французский император Наполеон объявил войну России. К этому времени он завершил формирование так называемой Великой армии. На границах Российской империи был сосредоточен эшелон вторжения численностью 450 тысяч человек. В последующие месяцы на территорию России было введено еще около 190 тысяч человек из состава второго эшелона. Помимо собственно французских войск в войне с Россией участвовали солдаты, рекрутированные из покоренных Наполеоном и союзных с Францией европейских государств. 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С начала 1812 года в России ощущалось приближение военной грозы. За два предвоенных года русское правительство значительно укрепило западные рубежи. Для их обороны были созданы три армии. 1-я и 2-я Западные армии, которыми командовали генералы от инфантерии Михаил Барклай-де-Толли и Петр Багратион, прикрывали направления на Петербург и Москву. 3-я Западная армия под командованием генерала от кавалерии Александра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Тормасова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прикрывала киевское направление. Однако к началу войны эти три армии почти втрое уступали по численности Великой армии Наполеона. 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Уклоняясь от генерального сражения, 1-я Западная армия под командованием Барклая-де-Толли начала планомерный отход на юго-восток. Французские войска без боя заняли города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Ковно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и</w:t>
                  </w:r>
                  <w:proofErr w:type="gram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ильну (Каунас и Вильнюс на территории современной Литвы). Между тем, при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Вильне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Наполеон </w:t>
                  </w: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lastRenderedPageBreak/>
                    <w:t>намеревался навязать русским войскам генеральное сражение и, разбив их, начать стремительное продвижение на Москву. Но вскоре стало ясно: легкой русская кампания не будет.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Битва на Бородинском поле 26 августа 1812 года между русской и французской армиями стала одним из ключевых событий Отечественной войны 1812 года. Обе армии потеряли огромное количество человек убитыми и ранеными. В России того времени эта битва считалась если не победой, то, по крайней мере, и не поражением русских войск. На эту тему до сих пор ведутся острые дискуссии, есть много споров и рассуждений, кто же выиграл в столкновении двух великих армий. Сам Наполеон подтверждал в своих высказываниях, что если отход и был для русских вынужденной мерой для сохранения войск, то назвать это сражение проигрышем невозможно. 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Потери русской и французской армий под Бородино были близки. По различным данным, для французской армии они составили порядка 50-55 тысяч человек. Русские полководцы недосчитались около 45-50 тысяч воинов. Заметим, такие колоссальные потери для битв начала XIX века были беспрецедентны. «Трупы, трупы, трупы… Их собирали по полям и по оврагам… </w:t>
                  </w:r>
                  <w:proofErr w:type="gram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Уборка</w:t>
                  </w:r>
                  <w:proofErr w:type="gram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и сожжение трупов продолжалась четыре месяца. И общий итог ошеломляющий: 58521 труп был предан огню! Большая из них часть - на Бородинском поле… Месяцами горели смрадные костры, на которых гренадеры и пехота, артиллерия и кавалерия в едином дымном строю в последнем марше поднимались к небесам», - так говорится в одном из исторических исследований. Но были и обычные захоронения на самом поле и в его окрестностях. Самое большее количество могил – как русских, так и французских – находится именно там. 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Относительно недавно эти захоронения стали </w:t>
                  </w:r>
                  <w:proofErr w:type="gram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вызывать повышенное внимание</w:t>
                  </w:r>
                  <w:proofErr w:type="gram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у археологического сообщества. Его интересуют, конечно, не только артефакты, связанные с Отечественной войной 1812 года, но и стремление внести некоторые исторические корректировки в ход самого сражения. «Бородинское сражение начиналось с битвы за село Бородино. В его штурме с французской стороны принимал участие 107-й линейный полк. А в погребениях, </w:t>
                  </w: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lastRenderedPageBreak/>
                    <w:t xml:space="preserve">которые мы обнаружили, были найдены вещи: пуговицы, части обмундирования, свидетельствующего о том, что и другие французские подразделения принимали участие в этом штурме. Мы также нашли довольно много останков лошадей с различными элементами конской упряжи. Дальнейший анализ позволит сказать, для каких целей использовались эти лошади. Ведь кавалерийской атаки не было. Это был пехотный полк. А откуда взялись лошади – это загадка», - рассказывал журналистам один из археологов Игорь Кондратьев. 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По его словам, сегодня археологи предполагают найти уже родственников погибших французских солдат и офицеров, поскольку современная антропология позволяет сделать генный анализ и сравнить ДНК. Это говорит о том, что больший интерес пока вызывают разбросанные по просторам России захоронения французских солдат. В то же время выясняется, что идентифицировать по ДНК безымянных русских солдат, Петровых и Ивановых - практически невозможно.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Наполеон трижды из Москвы делал попытки добиться мира. На первые два послания, направленные русскому царю, ответа не последовало. В третий раз Наполеон отправил с миссией бывшего французского посла в Санкт-Петербурге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Лористона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. Тот должен был встретиться с Кутузовым и передать письмо Александру. Наполеон не утратил способности анализировать ситуацию. Проблема в том, что в Москве ему катастрофически не хватало достоверной информации. У императора французов не было шпионов в стане русских, тогда как русские знали об армии противника практически все. Кроме того, ему очень не хотелось признавать несостоятельность своих расчетов. 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Как и две недели назад на пороге Москвы, Наполеон в Кремле упрямо ждал и ждал согласия русских на мир. Впрочем, под этим «миром» император, как свидетельствуют некоторые мемуары, понимал ожидаемый им государственный переворот в Санкт-Петербурге. Наполеон делал ставку на то, что с потерей Москвы «подполье» в русской столице свергнет императора Александра (вплоть до убийства самодержца), а власть возьмет в свои руки Правительствующий Сенат, с которым можно будет подписать договор. После того французский </w:t>
                  </w: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lastRenderedPageBreak/>
                    <w:t>император намеревался направить свой очередной удар в направлении Оттоманской империи. Но ответа из Санкт-Петербурга Наполеон так и не дождался. Пришлось отступать, это отступление из России стало трагедией для императора и его армии.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  <w:t xml:space="preserve">Дань памяти 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25 декабря 1812 года император Александр</w:t>
                  </w:r>
                  <w:proofErr w:type="gram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П</w:t>
                  </w:r>
                  <w:proofErr w:type="gram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ервый издает Высочайший манифест о построении в Москве церкви во имя Спасителя Христа: «Спасение России от врагов, столь же многочисленных силами, сколь злых и свирепых намерениями и делами, совершенное в шесть месяцев всех их истребление, так что при самом стремительном бегстве едва самомалейшая токмо часть оных могла уйти за пределы</w:t>
                  </w:r>
                  <w:proofErr w:type="gram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Н</w:t>
                  </w:r>
                  <w:proofErr w:type="gram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аши, есть явно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излиянная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на Россию благость Божия, есть поистине достопамятное происшествие, коего не изгладят веки из бытописаний. В сохранение вечной памяти того беспримерного усердия, верности и любви к Вере и к Отечеству, коими в сии трудные времена превознес себя народ Российский, и в ознаменование благодарности</w:t>
                  </w:r>
                  <w:proofErr w:type="gram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Н</w:t>
                  </w:r>
                  <w:proofErr w:type="gram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ашей к Промыслу Божию, спасшему Россию от грозившей ей гибели, вознамерились Мы в Первопрестольном граде Нашем Москве создать церковь во имя Спасителя Христа, подробное о чем постановление возвещено будет в свое время. Да благословит Всевышний начинание</w:t>
                  </w:r>
                  <w:proofErr w:type="gram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Н</w:t>
                  </w:r>
                  <w:proofErr w:type="gram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аше! Да совершится оно! Да простоит сей Храм многие веки, и да курится в нем пред святым Престолом Божиим кадило благодарности позднейших родов, вместе с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любовию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и подражанием к делам их предков». 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Объявленный в 1813 году конкурс на проект Храма Христа Спасителя выиграл Александр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Витберг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. Он предложил соорудить храм между Смоленской и Калужской дорогами на Воробьевых горах, которые Александр</w:t>
                  </w:r>
                  <w:proofErr w:type="gram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П</w:t>
                  </w:r>
                  <w:proofErr w:type="gram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ервый поэтично назвал «короною Москвы». 1 сентября 1817 года в пятую годовщину вторжения в Россию неприятельских войск на Воробьевых горах на месте будущего заложения храма был водружен деревянный крест. На следующий день площадку окропили святой водой и начали рыть фундамент. В 1820 году представленный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Витбергом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«</w:t>
                  </w:r>
                  <w:proofErr w:type="gram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Экономический проект</w:t>
                  </w:r>
                  <w:proofErr w:type="gram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» сооружения храма был утвержден императором. В 1821 году Комиссия по строению храма выдала разрешение на </w:t>
                  </w: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lastRenderedPageBreak/>
                    <w:t xml:space="preserve">начало земляных работ. В 1823 году началась заготовка камня и работы по соединению верховьев Волги и Москвы-реки. В то же время руководство строительством почему-то давалось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Витбергу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с большим трудом. Хотя земляные работы велись в большом объеме, грунт не был по-настоящему исследован, не было точных соображений об устройстве фундамента. В неудаче с доставкой камня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Витберг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увидел злонамеренные действия, стоившие казне до 300 тысяч рублей. 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Исходя из этого новый самодержец Николай</w:t>
                  </w:r>
                  <w:proofErr w:type="gram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П</w:t>
                  </w:r>
                  <w:proofErr w:type="gram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ервый принял решение приостановить начатые работы. Затем последовали Высочайшие рескрипты на имя Н.Б. Юсупова и указ Сената от 11 мая 1827 года: «Комиссию о сооружении в Москве храма во имя Христа Спасителя закрыть, а дела ее, чиновников, строения, заготовленные материалы и все казенное имущество - передать в ведение московского военного генерал-губернатора и действительного тайного советника князя Юсупова».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Витберга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обвиняют в растрате казенных сумм. Начался процесс, где истинные виновники «проскользнули». Суд длился долго и завершился только летом 1835 года. Все бывшие под судом лица во главе с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Витбергом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были признаны виновными «в злоупотреблениях и противозаконных действиях в ущерб казне». 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Только в сентябре 1839 года состоялась торжественная закладка храма Христа Спасителя по проекту К.А. Тона, но на месте Алексеевского монастыря. А четырьмя годами ранее император принял решение установить 16 типовых чугунных монументов в местах важнейших сражений Отечественной войны 1812 года. </w:t>
                  </w:r>
                  <w:proofErr w:type="gram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Они были разбиты на три класса: памятник первого класса должен был быть установлен в Бородине, памятники второго класса - в Тарутине, Малоярославце, Красном, Студенке,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Клястицах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, Смоленске, Полоцке, Чашниках, Кулаково и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Ковно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, памятники третьего класса – в Салтыковке, Витебске,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Кобрине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, Вязьме.</w:t>
                  </w:r>
                  <w:proofErr w:type="gram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Место установки 16-го памятника в документах отсутствует. Автором проектов памятников - во всяком случае, первых двух классов - являлся Антонио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Адамини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. Однако замысел императора Николая</w:t>
                  </w:r>
                  <w:proofErr w:type="gram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П</w:t>
                  </w:r>
                  <w:proofErr w:type="gram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ервого полностью осуществить не удалось. 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eastAsia="ru-RU"/>
                    </w:rPr>
                    <w:lastRenderedPageBreak/>
                    <w:t>Загадки Бородина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Батарея генерала Раевского на Бородинском поле – место мистическое. Считается, что на поле перед редутом погибло более 40 процентов участвовавших в Бородинском сражении французских войск. Памятник на батарее был заложен в 1837 году и на его торжественном открытии 26 августа 1839 года присутствовал сам Николая</w:t>
                  </w:r>
                  <w:proofErr w:type="gram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П</w:t>
                  </w:r>
                  <w:proofErr w:type="gram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ервый. Для участия в торжестве, которому придавалось государственное значение, были приглашены оставшиеся в живых многочисленные ветераны Бородинского сражения. Но вот перед нами всплывает очередной исторический парадокс: памятник на батарее Раевского был посвящен не Бородинскому сражению, а 25-летней годовщине вступления русской армии в Париж. 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Тогда же был перезахоронен знаменитый герой Бородинского сражения - генерал Петр Иванович Багратион. Он был смертельно ранен в Бородинском сражении и скончался в селе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Симы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Владимирской губернии. Лежать бы ему там спокойно. Однако по ходатайству другого героя 1812 года, Дениса Давыдова, поэта и воина, служившего около шести лет адъютантом Багратиона и пристроившего «Записки» генерала Ермолова в Англии, Багратиона решили перезахоронить на Бородинском поле. Позже, в советское время, произошла загадочная история. В 1932 году памятник на батарее Раевского был взорван. Чугун, из которого он был сделан, пошел в металлолом на переплавку. Приписывать подобную акцию «произволу» местных властей нет оснований. Такая же участь постигла и бронзовую доску на могиле Багратиона; сама могила была разграблена: исчезла и до сих пор так и не найдена золотая шпага, с которой похоронен прославленный полководец. 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Приведем еще свежий пример. Недавно по одному из российских телеканалов прошел сюжет: осуществляется «уничтожение» старинных захоронений грузинских князей из рода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Багратионов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у Храма</w:t>
                  </w:r>
                  <w:proofErr w:type="gram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сех Святых Патриаршего Подворья во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Всехсвятском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на Соколе в Москве. Кстати, там был захоронен Иоанн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Багратиони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, отец генерала. Хотя затем последовало официальное опровержение, такая информация по совокупности событий является, как </w:t>
                  </w: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lastRenderedPageBreak/>
                    <w:t xml:space="preserve">говорят, пищей для серьезных размышлений. 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В 1912 году в России проходило торжественное общественно-государственное празднование столетия победы России в Отечественной войне 1812 года. Оно отмечалось в день Бородинской битвы — 26 августа. В 1902 и 1911 годах были проведены рекогносцировки Бородинского поля с изданием картографической продукции. Было принято решение об образовании Музея 1812 года к предстоящему юбилею и, в связи с этим, организован Особый комитет по устройству в Москве Музея 1812 года на собранные народные средства. Россия тогда находилась в союзнических отношениях с Францией. Поэтому в 1913 году на Бородинском поле французской стороной был воздвигнут памятник. Но судьба первого экземпляра памятника загадочна: он утонул при транспортировке из Франции.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В 1922 году, как вспоминали местные старожилы, когда большевики закрывали и взрывали церкви, на куполе Владимирского храма </w:t>
                  </w:r>
                  <w:proofErr w:type="spell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Спасо-Бородинской</w:t>
                  </w:r>
                  <w:proofErr w:type="spell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обители, наоборот, поднимали снесенный ураганом крест. </w:t>
                  </w:r>
                  <w:proofErr w:type="gramStart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Наконец, именно о Бородине, а не каком-либо ином сражении, которыми перенасыщена русская история, недавно вспомнил Владимир Путин, выступая перед своими сторонниками в ходе предвыборной президентской компании.</w:t>
                  </w:r>
                  <w:proofErr w:type="gramEnd"/>
                  <w:r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«Битва за Россию продолжается!», - таков был его главный лозунг. Одним словом, историческая мистерия вокруг Бородинского поля продолжается до сих пор. Бородино удается сохранять в качестве символа непобедимости Русского государства. Хотя вот парадокс: в Москве недавно воссоздана панорама Бородинского сражения, но так и не раскрыты его главные тайны. Так что главные и сенсационные открытия, связанные с Бородинским полем, еще впереди.</w:t>
                  </w:r>
                </w:p>
                <w:p w:rsidR="00F06E3B" w:rsidRPr="00F06E3B" w:rsidRDefault="00F06E3B" w:rsidP="00F06E3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</w:p>
                <w:p w:rsidR="00F06E3B" w:rsidRPr="00F06E3B" w:rsidRDefault="00F06E3B" w:rsidP="00F06E3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</w:pPr>
                </w:p>
                <w:p w:rsidR="00F06E3B" w:rsidRPr="00F06E3B" w:rsidRDefault="0017616B" w:rsidP="00F06E3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hyperlink r:id="rId7" w:history="1">
                    <w:r w:rsidR="00F06E3B" w:rsidRPr="00F06E3B">
                      <w:rPr>
                        <w:rFonts w:ascii="Times New Roman" w:eastAsia="Times New Roman" w:hAnsi="Times New Roman" w:cs="Times New Roman"/>
                        <w:color w:val="2474BF"/>
                        <w:sz w:val="24"/>
                        <w:u w:val="single"/>
                        <w:lang w:eastAsia="ru-RU"/>
                      </w:rPr>
                      <w:t>Отправить почтой</w:t>
                    </w:r>
                  </w:hyperlink>
                  <w:r w:rsidR="00F06E3B" w:rsidRPr="00F06E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 </w:t>
                  </w:r>
                  <w:hyperlink r:id="rId8" w:history="1">
                    <w:r w:rsidR="00F06E3B" w:rsidRPr="00F06E3B">
                      <w:rPr>
                        <w:rFonts w:ascii="Times New Roman" w:eastAsia="Times New Roman" w:hAnsi="Times New Roman" w:cs="Times New Roman"/>
                        <w:vanish/>
                        <w:color w:val="2474BF"/>
                        <w:sz w:val="24"/>
                        <w:u w:val="single"/>
                        <w:lang w:eastAsia="ru-RU"/>
                      </w:rPr>
                      <w:t>Стандартный просмотр</w:t>
                    </w:r>
                  </w:hyperlink>
                </w:p>
                <w:p w:rsidR="00F06E3B" w:rsidRPr="00F06E3B" w:rsidRDefault="00F06E3B" w:rsidP="00F06E3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6"/>
                    <w:gridCol w:w="6"/>
                    <w:gridCol w:w="6"/>
                  </w:tblGrid>
                  <w:tr w:rsidR="00F06E3B" w:rsidRPr="00F06E3B" w:rsidTr="009D597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06E3B" w:rsidRPr="00F06E3B" w:rsidRDefault="00F06E3B" w:rsidP="00F06E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6E3B" w:rsidRPr="00F06E3B" w:rsidRDefault="00F06E3B" w:rsidP="00F06E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6E3B" w:rsidRPr="00F06E3B" w:rsidRDefault="00F06E3B" w:rsidP="00F06E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06E3B" w:rsidRPr="00F06E3B" w:rsidRDefault="00F06E3B" w:rsidP="00F06E3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lang w:eastAsia="ru-RU"/>
                          </w:rPr>
                        </w:pPr>
                      </w:p>
                    </w:tc>
                  </w:tr>
                </w:tbl>
                <w:p w:rsidR="00F06E3B" w:rsidRPr="00F06E3B" w:rsidRDefault="00F06E3B" w:rsidP="00F06E3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noProof/>
                      <w:color w:val="2474BF"/>
                      <w:sz w:val="28"/>
                      <w:lang w:eastAsia="ru-RU"/>
                    </w:rPr>
                    <w:drawing>
                      <wp:inline distT="0" distB="0" distL="0" distR="0">
                        <wp:extent cx="1162050" cy="257175"/>
                        <wp:effectExtent l="19050" t="0" r="0" b="0"/>
                        <wp:docPr id="7" name="Рисунок 8" descr="http://tcenavoprosa.ru/bitrix/components/infospice.loginzapro/loginza.auth/templates/.default/images/loginza.pn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tcenavoprosa.ru/bitrix/components/infospice.loginzapro/loginza.auth/templates/.default/images/loginza.pn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6E3B" w:rsidRPr="00F06E3B" w:rsidRDefault="00F06E3B" w:rsidP="00F06E3B">
                  <w:pPr>
                    <w:shd w:val="clear" w:color="auto" w:fill="ECEFF4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8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8"/>
                      <w:lang w:eastAsia="ru-RU"/>
                    </w:rPr>
                    <w:t>закрыть</w:t>
                  </w:r>
                </w:p>
                <w:p w:rsidR="00F06E3B" w:rsidRPr="00F06E3B" w:rsidRDefault="00F06E3B" w:rsidP="00F06E3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vanish/>
                      <w:sz w:val="20"/>
                      <w:szCs w:val="16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vanish/>
                      <w:sz w:val="20"/>
                      <w:szCs w:val="16"/>
                      <w:lang w:eastAsia="ru-RU"/>
                    </w:rPr>
                    <w:t>Начало формы</w:t>
                  </w:r>
                </w:p>
                <w:p w:rsidR="00F06E3B" w:rsidRPr="00F06E3B" w:rsidRDefault="00F06E3B" w:rsidP="00F06E3B">
                  <w:pPr>
                    <w:shd w:val="clear" w:color="auto" w:fill="ECEFF4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8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8"/>
                      <w:lang w:eastAsia="ru-RU"/>
                    </w:rPr>
                    <w:t>E-mail</w:t>
                  </w:r>
                  <w:r w:rsidRPr="00F06E3B"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8"/>
                      <w:lang w:eastAsia="ru-RU"/>
                    </w:rPr>
                    <w:br/>
                  </w:r>
                  <w:r w:rsidR="0017616B" w:rsidRPr="00F06E3B"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8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2" type="#_x0000_t75" style="width:49.5pt;height:18pt" o:ole="">
                        <v:imagedata r:id="rId11" o:title=""/>
                      </v:shape>
                      <w:control r:id="rId12" w:name="DefaultOcxName" w:shapeid="_x0000_i1052"/>
                    </w:object>
                  </w:r>
                  <w:r w:rsidRPr="00F06E3B"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8"/>
                      <w:lang w:eastAsia="ru-RU"/>
                    </w:rPr>
                    <w:br/>
                  </w:r>
                  <w:r w:rsidRPr="00F06E3B"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8"/>
                      <w:lang w:eastAsia="ru-RU"/>
                    </w:rPr>
                    <w:br/>
                    <w:t>Сопроводительный текст</w:t>
                  </w:r>
                  <w:r w:rsidRPr="00F06E3B"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8"/>
                      <w:lang w:eastAsia="ru-RU"/>
                    </w:rPr>
                    <w:br/>
                  </w:r>
                  <w:r w:rsidR="0017616B" w:rsidRPr="00F06E3B"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8"/>
                    </w:rPr>
                    <w:object w:dxaOrig="225" w:dyaOrig="225">
                      <v:shape id="_x0000_i1051" type="#_x0000_t75" style="width:136.5pt;height:60.75pt" o:ole="">
                        <v:imagedata r:id="rId13" o:title=""/>
                      </v:shape>
                      <w:control r:id="rId14" w:name="DefaultOcxName1" w:shapeid="_x0000_i1051"/>
                    </w:object>
                  </w:r>
                  <w:r w:rsidRPr="00F06E3B"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8"/>
                      <w:lang w:eastAsia="ru-RU"/>
                    </w:rPr>
                    <w:br/>
                  </w:r>
                  <w:r w:rsidRPr="00F06E3B"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8"/>
                      <w:lang w:eastAsia="ru-RU"/>
                    </w:rPr>
                    <w:br/>
                  </w:r>
                  <w:r w:rsidR="0017616B" w:rsidRPr="00F06E3B"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8"/>
                    </w:rPr>
                    <w:object w:dxaOrig="225" w:dyaOrig="225">
                      <v:shape id="_x0000_i1040" type="#_x0000_t75" style="width:55.5pt;height:22.5pt" o:ole="">
                        <v:imagedata r:id="rId15" o:title=""/>
                      </v:shape>
                      <w:control r:id="rId16" w:name="DefaultOcxName2" w:shapeid="_x0000_i1040"/>
                    </w:object>
                  </w:r>
                </w:p>
                <w:p w:rsidR="00F06E3B" w:rsidRPr="00F06E3B" w:rsidRDefault="00F06E3B" w:rsidP="00F06E3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vanish/>
                      <w:sz w:val="20"/>
                      <w:szCs w:val="16"/>
                      <w:lang w:eastAsia="ru-RU"/>
                    </w:rPr>
                  </w:pPr>
                  <w:r w:rsidRPr="00F06E3B">
                    <w:rPr>
                      <w:rFonts w:ascii="Times New Roman" w:eastAsia="Times New Roman" w:hAnsi="Times New Roman" w:cs="Times New Roman"/>
                      <w:vanish/>
                      <w:sz w:val="20"/>
                      <w:szCs w:val="16"/>
                      <w:lang w:eastAsia="ru-RU"/>
                    </w:rPr>
                    <w:t>Конец формы</w:t>
                  </w:r>
                </w:p>
                <w:p w:rsidR="00F06E3B" w:rsidRPr="00F06E3B" w:rsidRDefault="00F06E3B" w:rsidP="00F06E3B">
                  <w:pPr>
                    <w:shd w:val="clear" w:color="auto" w:fill="ECEFF4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8"/>
                      <w:lang w:eastAsia="ru-RU"/>
                    </w:rPr>
                  </w:pPr>
                </w:p>
              </w:tc>
            </w:tr>
          </w:tbl>
          <w:p w:rsidR="009D5973" w:rsidRPr="00F06E3B" w:rsidRDefault="009D5973" w:rsidP="00F06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127416" w:rsidRPr="00F06E3B" w:rsidRDefault="00127416" w:rsidP="00F06E3B">
      <w:pPr>
        <w:jc w:val="both"/>
        <w:rPr>
          <w:rFonts w:ascii="Times New Roman" w:hAnsi="Times New Roman" w:cs="Times New Roman"/>
          <w:sz w:val="28"/>
        </w:rPr>
      </w:pPr>
    </w:p>
    <w:sectPr w:rsidR="00127416" w:rsidRPr="00F06E3B" w:rsidSect="0012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F04A5"/>
    <w:multiLevelType w:val="multilevel"/>
    <w:tmpl w:val="9702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ED40C7"/>
    <w:multiLevelType w:val="multilevel"/>
    <w:tmpl w:val="07E0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D20C48"/>
    <w:multiLevelType w:val="multilevel"/>
    <w:tmpl w:val="D3A0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5973"/>
    <w:rsid w:val="00127416"/>
    <w:rsid w:val="0017616B"/>
    <w:rsid w:val="002E5608"/>
    <w:rsid w:val="0059757F"/>
    <w:rsid w:val="005A6406"/>
    <w:rsid w:val="009D5973"/>
    <w:rsid w:val="00BC454F"/>
    <w:rsid w:val="00DD5E69"/>
    <w:rsid w:val="00F06E3B"/>
    <w:rsid w:val="00F1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7F"/>
  </w:style>
  <w:style w:type="paragraph" w:styleId="1">
    <w:name w:val="heading 1"/>
    <w:basedOn w:val="a"/>
    <w:next w:val="a"/>
    <w:link w:val="10"/>
    <w:uiPriority w:val="9"/>
    <w:qFormat/>
    <w:rsid w:val="00597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7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7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975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7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75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975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59757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D5973"/>
    <w:rPr>
      <w:color w:val="2474BF"/>
      <w:u w:val="single"/>
    </w:rPr>
  </w:style>
  <w:style w:type="character" w:customStyle="1" w:styleId="texttitle">
    <w:name w:val="text_title"/>
    <w:basedOn w:val="a0"/>
    <w:rsid w:val="009D5973"/>
    <w:rPr>
      <w:vanish w:val="0"/>
      <w:webHidden w:val="0"/>
      <w:specVanish w:val="0"/>
    </w:rPr>
  </w:style>
  <w:style w:type="paragraph" w:customStyle="1" w:styleId="detailtext1">
    <w:name w:val="detail_text1"/>
    <w:basedOn w:val="a"/>
    <w:rsid w:val="009D597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D59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D59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D59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D59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reviewtext3">
    <w:name w:val="preview_text3"/>
    <w:basedOn w:val="a0"/>
    <w:rsid w:val="009D5973"/>
    <w:rPr>
      <w:rFonts w:ascii="Tahoma" w:hAnsi="Tahoma" w:cs="Tahoma" w:hint="default"/>
      <w:b w:val="0"/>
      <w:bCs w:val="0"/>
      <w:vanish w:val="0"/>
      <w:webHidden w:val="0"/>
      <w:color w:val="000000"/>
      <w:sz w:val="20"/>
      <w:szCs w:val="20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9D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2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6314">
              <w:marLeft w:val="0"/>
              <w:marRight w:val="0"/>
              <w:marTop w:val="0"/>
              <w:marBottom w:val="0"/>
              <w:divBdr>
                <w:top w:val="single" w:sz="6" w:space="11" w:color="DEDFE3"/>
                <w:left w:val="single" w:sz="6" w:space="11" w:color="DEDFE3"/>
                <w:bottom w:val="single" w:sz="6" w:space="11" w:color="DEDFE3"/>
                <w:right w:val="single" w:sz="6" w:space="11" w:color="DEDFE3"/>
              </w:divBdr>
              <w:divsChild>
                <w:div w:id="14452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6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15293">
              <w:marLeft w:val="0"/>
              <w:marRight w:val="0"/>
              <w:marTop w:val="150"/>
              <w:marBottom w:val="0"/>
              <w:divBdr>
                <w:top w:val="single" w:sz="6" w:space="11" w:color="DEDFE3"/>
                <w:left w:val="single" w:sz="6" w:space="11" w:color="DEDFE3"/>
                <w:bottom w:val="single" w:sz="6" w:space="11" w:color="DEDFE3"/>
                <w:right w:val="single" w:sz="6" w:space="11" w:color="DEDFE3"/>
              </w:divBdr>
              <w:divsChild>
                <w:div w:id="1953396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953137">
              <w:marLeft w:val="0"/>
              <w:marRight w:val="0"/>
              <w:marTop w:val="0"/>
              <w:marBottom w:val="0"/>
              <w:divBdr>
                <w:top w:val="single" w:sz="6" w:space="11" w:color="C9D4DA"/>
                <w:left w:val="single" w:sz="6" w:space="11" w:color="C9D4DA"/>
                <w:bottom w:val="single" w:sz="6" w:space="11" w:color="C9D4DA"/>
                <w:right w:val="single" w:sz="6" w:space="11" w:color="C9D4DA"/>
              </w:divBdr>
              <w:divsChild>
                <w:div w:id="14503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3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715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052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30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4DF"/>
                        <w:left w:val="single" w:sz="6" w:space="0" w:color="E5E4DF"/>
                        <w:bottom w:val="single" w:sz="6" w:space="0" w:color="E5E4DF"/>
                        <w:right w:val="single" w:sz="6" w:space="0" w:color="E5E4DF"/>
                      </w:divBdr>
                      <w:divsChild>
                        <w:div w:id="29271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4DF"/>
                            <w:left w:val="single" w:sz="6" w:space="8" w:color="E5E4DF"/>
                            <w:bottom w:val="single" w:sz="2" w:space="0" w:color="E5E4DF"/>
                            <w:right w:val="single" w:sz="6" w:space="8" w:color="E5E4DF"/>
                          </w:divBdr>
                        </w:div>
                        <w:div w:id="13540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530551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49391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745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4DF"/>
                            <w:left w:val="single" w:sz="6" w:space="0" w:color="E5E4DF"/>
                            <w:bottom w:val="single" w:sz="6" w:space="0" w:color="E5E4DF"/>
                            <w:right w:val="single" w:sz="6" w:space="0" w:color="E5E4DF"/>
                          </w:divBdr>
                          <w:divsChild>
                            <w:div w:id="11464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4DF"/>
                                <w:left w:val="single" w:sz="6" w:space="8" w:color="E5E4DF"/>
                                <w:bottom w:val="single" w:sz="2" w:space="0" w:color="E5E4DF"/>
                                <w:right w:val="single" w:sz="6" w:space="8" w:color="E5E4DF"/>
                              </w:divBdr>
                            </w:div>
                            <w:div w:id="31418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005583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551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4DF"/>
                            <w:left w:val="single" w:sz="6" w:space="0" w:color="E5E4DF"/>
                            <w:bottom w:val="single" w:sz="6" w:space="0" w:color="E5E4DF"/>
                            <w:right w:val="single" w:sz="6" w:space="0" w:color="E5E4DF"/>
                          </w:divBdr>
                          <w:divsChild>
                            <w:div w:id="29232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4DF"/>
                                <w:left w:val="single" w:sz="6" w:space="8" w:color="E5E4DF"/>
                                <w:bottom w:val="single" w:sz="2" w:space="0" w:color="E5E4DF"/>
                                <w:right w:val="single" w:sz="6" w:space="8" w:color="E5E4DF"/>
                              </w:divBdr>
                            </w:div>
                            <w:div w:id="9565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;" TargetMode="Externa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%20void(0);" TargetMode="External"/><Relationship Id="rId12" Type="http://schemas.openxmlformats.org/officeDocument/2006/relationships/control" Target="activeX/activeX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za.ru/api/widget?token_url=http://tcenavoprosa.ru/article_archive/new_detail.php?ID=1244&amp;providers_set=yandex,google,mailruapi,mailru,vkontakte,facebook,twitter,loginza,myopenid,webmoney,rambler,flickr,lastfm,verisign,aol,steam,openid&amp;lang=ru&amp;mobile=auto" TargetMode="Externa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2E43-DE7D-4FCC-917A-E32CA5F6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2363</Words>
  <Characters>13472</Characters>
  <Application>Microsoft Office Word</Application>
  <DocSecurity>0</DocSecurity>
  <Lines>112</Lines>
  <Paragraphs>31</Paragraphs>
  <ScaleCrop>false</ScaleCrop>
  <Company/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2012-08-31T18:56:00Z</dcterms:created>
  <dcterms:modified xsi:type="dcterms:W3CDTF">2013-04-08T07:14:00Z</dcterms:modified>
</cp:coreProperties>
</file>