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6D" w:rsidRDefault="00482F6D" w:rsidP="00B133DD">
      <w:pPr>
        <w:pStyle w:val="a5"/>
        <w:jc w:val="center"/>
        <w:rPr>
          <w:rFonts w:ascii="Arial" w:eastAsia="Times New Roman" w:hAnsi="Arial" w:cs="Arial"/>
          <w:b/>
          <w:lang w:val="en-US"/>
        </w:rPr>
      </w:pPr>
      <w:r w:rsidRPr="00B133DD">
        <w:rPr>
          <w:rFonts w:ascii="Arial" w:eastAsia="Times New Roman" w:hAnsi="Arial" w:cs="Arial"/>
          <w:b/>
        </w:rPr>
        <w:t>Психологические игры</w:t>
      </w:r>
    </w:p>
    <w:p w:rsidR="008F79C4" w:rsidRPr="008F79C4" w:rsidRDefault="008F79C4" w:rsidP="00B133DD">
      <w:pPr>
        <w:pStyle w:val="a5"/>
        <w:jc w:val="center"/>
        <w:rPr>
          <w:rFonts w:ascii="Arial" w:eastAsia="Times New Roman" w:hAnsi="Arial" w:cs="Arial"/>
          <w:b/>
          <w:lang w:val="en-US"/>
        </w:rPr>
      </w:pPr>
    </w:p>
    <w:p w:rsidR="00B133DD" w:rsidRPr="008F79C4" w:rsidRDefault="008F79C4" w:rsidP="008F79C4">
      <w:pPr>
        <w:pStyle w:val="a5"/>
        <w:jc w:val="both"/>
        <w:rPr>
          <w:rFonts w:ascii="Arial" w:eastAsia="Times New Roman" w:hAnsi="Arial" w:cs="Arial"/>
          <w:i/>
          <w:iCs/>
        </w:rPr>
      </w:pPr>
      <w:r>
        <w:rPr>
          <w:rFonts w:ascii="Arial" w:eastAsia="Times New Roman" w:hAnsi="Arial" w:cs="Arial"/>
          <w:i/>
          <w:iCs/>
        </w:rPr>
        <w:t xml:space="preserve">Данные игры </w:t>
      </w:r>
      <w:r w:rsidR="00482F6D" w:rsidRPr="00B133DD">
        <w:rPr>
          <w:rFonts w:ascii="Arial" w:eastAsia="Times New Roman" w:hAnsi="Arial" w:cs="Arial"/>
          <w:i/>
          <w:iCs/>
        </w:rPr>
        <w:t>даю</w:t>
      </w:r>
      <w:r>
        <w:rPr>
          <w:rFonts w:ascii="Arial" w:eastAsia="Times New Roman" w:hAnsi="Arial" w:cs="Arial"/>
          <w:i/>
          <w:iCs/>
        </w:rPr>
        <w:t>т</w:t>
      </w:r>
      <w:r w:rsidR="00482F6D" w:rsidRPr="00B133DD">
        <w:rPr>
          <w:rFonts w:ascii="Arial" w:eastAsia="Times New Roman" w:hAnsi="Arial" w:cs="Arial"/>
          <w:i/>
          <w:iCs/>
        </w:rPr>
        <w:t xml:space="preserve"> возможность углубиться в мир взаимоотношений с окружающими и с самим собой, направленные </w:t>
      </w:r>
      <w:proofErr w:type="gramStart"/>
      <w:r w:rsidR="00482F6D" w:rsidRPr="00B133DD">
        <w:rPr>
          <w:rFonts w:ascii="Arial" w:eastAsia="Times New Roman" w:hAnsi="Arial" w:cs="Arial"/>
          <w:i/>
          <w:iCs/>
        </w:rPr>
        <w:t>на</w:t>
      </w:r>
      <w:proofErr w:type="gramEnd"/>
      <w:r w:rsidR="00482F6D" w:rsidRPr="00B133DD">
        <w:rPr>
          <w:rFonts w:ascii="Arial" w:eastAsia="Times New Roman" w:hAnsi="Arial" w:cs="Arial"/>
          <w:i/>
          <w:iCs/>
        </w:rPr>
        <w:t>:</w:t>
      </w:r>
    </w:p>
    <w:p w:rsidR="008F79C4" w:rsidRPr="008F79C4" w:rsidRDefault="008F79C4" w:rsidP="00B133DD">
      <w:pPr>
        <w:pStyle w:val="a5"/>
        <w:ind w:firstLine="709"/>
        <w:jc w:val="both"/>
        <w:rPr>
          <w:rFonts w:ascii="Arial" w:eastAsia="Times New Roman" w:hAnsi="Arial" w:cs="Arial"/>
          <w:b/>
          <w:i/>
          <w:iCs/>
        </w:rPr>
      </w:pPr>
    </w:p>
    <w:p w:rsidR="00482F6D" w:rsidRPr="00B133DD" w:rsidRDefault="00482F6D" w:rsidP="00B133DD">
      <w:pPr>
        <w:pStyle w:val="a5"/>
        <w:ind w:firstLine="709"/>
        <w:jc w:val="both"/>
        <w:rPr>
          <w:rFonts w:ascii="Arial" w:eastAsia="Times New Roman" w:hAnsi="Arial" w:cs="Arial"/>
          <w:b/>
          <w:i/>
        </w:rPr>
      </w:pPr>
      <w:r w:rsidRPr="00B133DD">
        <w:rPr>
          <w:rFonts w:ascii="Arial" w:eastAsia="Times New Roman" w:hAnsi="Arial" w:cs="Arial"/>
          <w:b/>
          <w:i/>
          <w:iCs/>
        </w:rPr>
        <w:t xml:space="preserve"> </w:t>
      </w:r>
      <w:r w:rsidRPr="00B133DD">
        <w:rPr>
          <w:rFonts w:ascii="Arial" w:eastAsia="Times New Roman" w:hAnsi="Arial" w:cs="Arial"/>
          <w:b/>
          <w:i/>
          <w:u w:val="single"/>
        </w:rPr>
        <w:t>• осознание себя, самопознание:</w:t>
      </w:r>
    </w:p>
    <w:p w:rsidR="0093471E" w:rsidRDefault="0093471E" w:rsidP="00B133DD">
      <w:pPr>
        <w:pStyle w:val="a5"/>
        <w:ind w:firstLine="709"/>
        <w:jc w:val="both"/>
        <w:rPr>
          <w:rFonts w:ascii="Arial" w:eastAsia="Times New Roman" w:hAnsi="Arial" w:cs="Arial"/>
          <w:i/>
          <w:u w:val="single"/>
        </w:rPr>
      </w:pPr>
    </w:p>
    <w:p w:rsidR="00482F6D" w:rsidRPr="00B133DD" w:rsidRDefault="00482F6D" w:rsidP="00B133DD">
      <w:pPr>
        <w:pStyle w:val="a5"/>
        <w:ind w:firstLine="709"/>
        <w:jc w:val="both"/>
        <w:rPr>
          <w:rFonts w:ascii="Arial" w:eastAsia="Times New Roman" w:hAnsi="Arial" w:cs="Arial"/>
          <w:i/>
          <w:u w:val="single"/>
        </w:rPr>
      </w:pPr>
      <w:r w:rsidRPr="00B133DD">
        <w:rPr>
          <w:rFonts w:ascii="Arial" w:eastAsia="Times New Roman" w:hAnsi="Arial" w:cs="Arial"/>
          <w:i/>
          <w:u w:val="single"/>
        </w:rPr>
        <w:t>"Телепатия"</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t xml:space="preserve">Группа разбивается на пары. В каждой паре участники садятся лицом друг к другу. Одному из них отводится роль "передающего", а другому - "принимающего". Ведущий объясняет, что "передающий" должен как можно лучше сосредоточиться на каком-нибудь образе и усилием воли внушить его "принимающему". Задача "принимающего" - проникнуть в то, на чем сосредоточено внимание его партнера. </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t xml:space="preserve">Можно организовать игру так, чтобы один и тот же образ вся группа "передавала" одному из участников. </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t xml:space="preserve">При организации игры ведущий должен дать понять группе, что он вполне серьезно относится к предложенному эксперименту и ожидает положительных результатов. Это поможет участникам преодолеть возможное скептическое отношение </w:t>
      </w:r>
      <w:proofErr w:type="gramStart"/>
      <w:r w:rsidRPr="00B133DD">
        <w:rPr>
          <w:rFonts w:ascii="Arial" w:eastAsia="Times New Roman" w:hAnsi="Arial" w:cs="Arial"/>
        </w:rPr>
        <w:t>к</w:t>
      </w:r>
      <w:proofErr w:type="gramEnd"/>
      <w:r w:rsidRPr="00B133DD">
        <w:rPr>
          <w:rFonts w:ascii="Arial" w:eastAsia="Times New Roman" w:hAnsi="Arial" w:cs="Arial"/>
        </w:rPr>
        <w:t xml:space="preserve"> </w:t>
      </w:r>
      <w:proofErr w:type="gramStart"/>
      <w:r w:rsidRPr="00B133DD">
        <w:rPr>
          <w:rFonts w:ascii="Arial" w:eastAsia="Times New Roman" w:hAnsi="Arial" w:cs="Arial"/>
        </w:rPr>
        <w:t>подобного</w:t>
      </w:r>
      <w:proofErr w:type="gramEnd"/>
      <w:r w:rsidRPr="00B133DD">
        <w:rPr>
          <w:rFonts w:ascii="Arial" w:eastAsia="Times New Roman" w:hAnsi="Arial" w:cs="Arial"/>
        </w:rPr>
        <w:t xml:space="preserve"> рода занятиям и настроиться на серьезную работу. Конечно, дело тут не в телепатии - ее может и не быть в природе. Однако необходимость создания яркой воображаемой картины не только для себя, но и для партнера - дополнительный стимул, заставляющий "передающего" предельно мобилизовать силы своего воображения. Кстати, правильные отгадывания во время игры </w:t>
      </w:r>
      <w:proofErr w:type="gramStart"/>
      <w:r w:rsidRPr="00B133DD">
        <w:rPr>
          <w:rFonts w:ascii="Arial" w:eastAsia="Times New Roman" w:hAnsi="Arial" w:cs="Arial"/>
        </w:rPr>
        <w:t>случаются</w:t>
      </w:r>
      <w:proofErr w:type="gramEnd"/>
      <w:r w:rsidRPr="00B133DD">
        <w:rPr>
          <w:rFonts w:ascii="Arial" w:eastAsia="Times New Roman" w:hAnsi="Arial" w:cs="Arial"/>
        </w:rPr>
        <w:t xml:space="preserve"> обычно чаще, чем этого можно было бы ожидать по теории вероятностей. </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t xml:space="preserve">В том случае, если после первых удач у участников действительно возникнет впечатление, будто мысли передаются на расстоянии, ведущему не следует спешить с развенчанием "чудесного феномена". Ведь веру в телепатию можно эффективно использовать для того, чтобы сильнее подогревать группу в ее работе. Лишь после того, как каждый из участников достаточно поработает в роли "передающего", имеет смысл раскрыть карты и рассказать группе о возможных каналах передачи информации. </w:t>
      </w:r>
    </w:p>
    <w:p w:rsidR="008F79C4" w:rsidRDefault="008F79C4" w:rsidP="00B133DD">
      <w:pPr>
        <w:pStyle w:val="a5"/>
        <w:ind w:firstLine="709"/>
        <w:jc w:val="both"/>
        <w:rPr>
          <w:rFonts w:ascii="Arial" w:eastAsia="Times New Roman" w:hAnsi="Arial" w:cs="Arial"/>
          <w:b/>
          <w:i/>
          <w:u w:val="single"/>
          <w:lang w:val="en-US"/>
        </w:rPr>
      </w:pPr>
    </w:p>
    <w:p w:rsidR="00482F6D" w:rsidRPr="00B133DD" w:rsidRDefault="00482F6D" w:rsidP="00B133DD">
      <w:pPr>
        <w:pStyle w:val="a5"/>
        <w:ind w:firstLine="709"/>
        <w:jc w:val="both"/>
        <w:rPr>
          <w:rFonts w:ascii="Arial" w:eastAsia="Times New Roman" w:hAnsi="Arial" w:cs="Arial"/>
          <w:b/>
          <w:i/>
        </w:rPr>
      </w:pPr>
      <w:r w:rsidRPr="00B133DD">
        <w:rPr>
          <w:rFonts w:ascii="Arial" w:eastAsia="Times New Roman" w:hAnsi="Arial" w:cs="Arial"/>
          <w:b/>
          <w:i/>
          <w:u w:val="single"/>
        </w:rPr>
        <w:t>• доверие, взаимопонимание:</w:t>
      </w:r>
    </w:p>
    <w:p w:rsidR="0093471E" w:rsidRDefault="0093471E" w:rsidP="00B133DD">
      <w:pPr>
        <w:pStyle w:val="a5"/>
        <w:ind w:firstLine="709"/>
        <w:jc w:val="both"/>
        <w:rPr>
          <w:rFonts w:ascii="Arial" w:eastAsia="Times New Roman" w:hAnsi="Arial" w:cs="Arial"/>
          <w:i/>
          <w:u w:val="single"/>
        </w:rPr>
      </w:pPr>
    </w:p>
    <w:p w:rsidR="00482F6D" w:rsidRPr="00B133DD" w:rsidRDefault="00482F6D" w:rsidP="00B133DD">
      <w:pPr>
        <w:pStyle w:val="a5"/>
        <w:ind w:firstLine="709"/>
        <w:jc w:val="both"/>
        <w:rPr>
          <w:rFonts w:ascii="Arial" w:eastAsia="Times New Roman" w:hAnsi="Arial" w:cs="Arial"/>
          <w:i/>
          <w:u w:val="single"/>
        </w:rPr>
      </w:pPr>
      <w:r w:rsidRPr="00B133DD">
        <w:rPr>
          <w:rFonts w:ascii="Arial" w:eastAsia="Times New Roman" w:hAnsi="Arial" w:cs="Arial"/>
          <w:i/>
          <w:u w:val="single"/>
        </w:rPr>
        <w:t xml:space="preserve">"Монета" </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t>Вооруженные карандашом, бумагой и монетой участники располагаются друг против друга. В каждом такте игры участники скрытно выкладывают свои монеты (на столе, на полу, у себя на ладони) "орлом" или "</w:t>
      </w:r>
      <w:proofErr w:type="gramStart"/>
      <w:r w:rsidRPr="00B133DD">
        <w:rPr>
          <w:rFonts w:ascii="Arial" w:eastAsia="Times New Roman" w:hAnsi="Arial" w:cs="Arial"/>
        </w:rPr>
        <w:t>решкой</w:t>
      </w:r>
      <w:proofErr w:type="gramEnd"/>
      <w:r w:rsidRPr="00B133DD">
        <w:rPr>
          <w:rFonts w:ascii="Arial" w:eastAsia="Times New Roman" w:hAnsi="Arial" w:cs="Arial"/>
        </w:rPr>
        <w:t>" вверх и по сигналу одновременно показывают их друг другу. Время, отводимое на каждый такт, не ограничено: сигнал подается лишь после готовности каждого из игроков. Один из них работает "на согласование". Он выигрывает такт в том случае, если обе монеты выпадают или "</w:t>
      </w:r>
      <w:proofErr w:type="gramStart"/>
      <w:r w:rsidRPr="00B133DD">
        <w:rPr>
          <w:rFonts w:ascii="Arial" w:eastAsia="Times New Roman" w:hAnsi="Arial" w:cs="Arial"/>
        </w:rPr>
        <w:t>решками</w:t>
      </w:r>
      <w:proofErr w:type="gramEnd"/>
      <w:r w:rsidRPr="00B133DD">
        <w:rPr>
          <w:rFonts w:ascii="Arial" w:eastAsia="Times New Roman" w:hAnsi="Arial" w:cs="Arial"/>
        </w:rPr>
        <w:t>", или "орлами". Другой участник работает "на рассогласование" и выигрывает такт при выпадении "орел</w:t>
      </w:r>
      <w:proofErr w:type="gramStart"/>
      <w:r w:rsidRPr="00B133DD">
        <w:rPr>
          <w:rFonts w:ascii="Arial" w:eastAsia="Times New Roman" w:hAnsi="Arial" w:cs="Arial"/>
        </w:rPr>
        <w:t>"-</w:t>
      </w:r>
      <w:proofErr w:type="gramEnd"/>
      <w:r w:rsidRPr="00B133DD">
        <w:rPr>
          <w:rFonts w:ascii="Arial" w:eastAsia="Times New Roman" w:hAnsi="Arial" w:cs="Arial"/>
        </w:rPr>
        <w:t xml:space="preserve">"решка" или "решка"-"орел". Исходы каждого такт записываются участниками, что дает им возможность анализа хода борьбы и тактики соперника на всем протяжении игры. Длительность игры устанавливается заранее и может составлять в зависимости от "квалификации" участников от 25 до 50 тактов. Или же можно условиться играть до тех пор, пока разрыв не составит определенное количество (3-5) очков. </w:t>
      </w:r>
    </w:p>
    <w:p w:rsidR="0093471E" w:rsidRDefault="0093471E" w:rsidP="00B133DD">
      <w:pPr>
        <w:pStyle w:val="a5"/>
        <w:ind w:firstLine="709"/>
        <w:jc w:val="both"/>
        <w:rPr>
          <w:rFonts w:ascii="Arial" w:eastAsia="Times New Roman" w:hAnsi="Arial" w:cs="Arial"/>
          <w:i/>
          <w:u w:val="single"/>
        </w:rPr>
      </w:pPr>
    </w:p>
    <w:p w:rsidR="00482F6D" w:rsidRPr="00B133DD" w:rsidRDefault="00482F6D" w:rsidP="00B133DD">
      <w:pPr>
        <w:pStyle w:val="a5"/>
        <w:ind w:firstLine="709"/>
        <w:jc w:val="both"/>
        <w:rPr>
          <w:rFonts w:ascii="Arial" w:eastAsia="Times New Roman" w:hAnsi="Arial" w:cs="Arial"/>
          <w:i/>
          <w:u w:val="single"/>
        </w:rPr>
      </w:pPr>
      <w:r w:rsidRPr="00B133DD">
        <w:rPr>
          <w:rFonts w:ascii="Arial" w:eastAsia="Times New Roman" w:hAnsi="Arial" w:cs="Arial"/>
          <w:i/>
          <w:u w:val="single"/>
        </w:rPr>
        <w:t>"Гомеостат"</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t xml:space="preserve">Так называется прибор </w:t>
      </w:r>
      <w:proofErr w:type="gramStart"/>
      <w:r w:rsidRPr="00B133DD">
        <w:rPr>
          <w:rFonts w:ascii="Arial" w:eastAsia="Times New Roman" w:hAnsi="Arial" w:cs="Arial"/>
        </w:rPr>
        <w:t>со</w:t>
      </w:r>
      <w:proofErr w:type="gramEnd"/>
      <w:r w:rsidRPr="00B133DD">
        <w:rPr>
          <w:rFonts w:ascii="Arial" w:eastAsia="Times New Roman" w:hAnsi="Arial" w:cs="Arial"/>
        </w:rPr>
        <w:t xml:space="preserve"> множеством ручек и циферблатов, который используется психологами для изучения групповой совместимости. Наш "прибор" устроен несколько проще. Участники рассаживаются в круг. Каждый сжимает правую руку в кулак, и по команде ведущего все "выбрасывают пальцы". Группа должна стремиться к тому, чтобы все участники независимо друг от друга выбросили одно и то же число. Участникам запрещено договариваться, перемигиваться и другими "незаконными" способами пытаться согласовывать свои действия. Игра продолжается до тех пор, пока группа не достигнет своей цели. Для того чтобы предоставить друг другу возможность оценить обстановку и учесть ее в последующем такте игры, участники после каждого "выбрасывания" фиксируют на какое-то время положение своих растопыренных пальцев. </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t xml:space="preserve">Помимо своего прямого назначения "Гомеостат" может быть использован для выявления взаимоотношений </w:t>
      </w:r>
      <w:proofErr w:type="gramStart"/>
      <w:r w:rsidRPr="00B133DD">
        <w:rPr>
          <w:rFonts w:ascii="Arial" w:eastAsia="Times New Roman" w:hAnsi="Arial" w:cs="Arial"/>
        </w:rPr>
        <w:t>между</w:t>
      </w:r>
      <w:proofErr w:type="gramEnd"/>
      <w:r w:rsidRPr="00B133DD">
        <w:rPr>
          <w:rFonts w:ascii="Arial" w:eastAsia="Times New Roman" w:hAnsi="Arial" w:cs="Arial"/>
        </w:rPr>
        <w:t xml:space="preserve"> играющими. Если внимательно понаблюдать за ходом игры, то можно заметить одного или нескольких лидеров в группе, под которых подстраиваются остальные участники. Возможно, группа распадается на несколько группировок, имеющих свои установки на исход игры (например, половина играющих выбрасывает несколько раз подряд по три пальца, в то время как другая - по одному). Не исключено также появление "</w:t>
      </w:r>
      <w:proofErr w:type="spellStart"/>
      <w:r w:rsidRPr="00B133DD">
        <w:rPr>
          <w:rFonts w:ascii="Arial" w:eastAsia="Times New Roman" w:hAnsi="Arial" w:cs="Arial"/>
        </w:rPr>
        <w:t>негативиста</w:t>
      </w:r>
      <w:proofErr w:type="spellEnd"/>
      <w:r w:rsidRPr="00B133DD">
        <w:rPr>
          <w:rFonts w:ascii="Arial" w:eastAsia="Times New Roman" w:hAnsi="Arial" w:cs="Arial"/>
        </w:rPr>
        <w:t xml:space="preserve">", упорно гнущего свою линию даже после того, как между остальными участниками уже достигнуто определенное согласие. </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lastRenderedPageBreak/>
        <w:t xml:space="preserve">Если участникам наскучит этот сидячий вариант рефлексивной игры, то можно предложить ее подвижный аналог. </w:t>
      </w:r>
    </w:p>
    <w:p w:rsidR="0093471E" w:rsidRDefault="0093471E" w:rsidP="00B133DD">
      <w:pPr>
        <w:pStyle w:val="a5"/>
        <w:ind w:firstLine="709"/>
        <w:jc w:val="both"/>
        <w:rPr>
          <w:rFonts w:ascii="Arial" w:eastAsia="Times New Roman" w:hAnsi="Arial" w:cs="Arial"/>
          <w:i/>
          <w:u w:val="single"/>
        </w:rPr>
      </w:pPr>
    </w:p>
    <w:p w:rsidR="00482F6D" w:rsidRPr="00B133DD" w:rsidRDefault="00482F6D" w:rsidP="00B133DD">
      <w:pPr>
        <w:pStyle w:val="a5"/>
        <w:ind w:firstLine="709"/>
        <w:jc w:val="both"/>
        <w:rPr>
          <w:rFonts w:ascii="Arial" w:eastAsia="Times New Roman" w:hAnsi="Arial" w:cs="Arial"/>
          <w:i/>
          <w:u w:val="single"/>
        </w:rPr>
      </w:pPr>
      <w:r w:rsidRPr="00B133DD">
        <w:rPr>
          <w:rFonts w:ascii="Arial" w:eastAsia="Times New Roman" w:hAnsi="Arial" w:cs="Arial"/>
          <w:i/>
          <w:u w:val="single"/>
        </w:rPr>
        <w:t>"Шеренга"</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t xml:space="preserve">Участники выстраиваются в шеренгу на расстоянии шага друг от друга и лицом к одной из стен помещения. Все закрывают глаза и по хлопку ведущего делают поворот вокруг своей оси. Поворот можно осуществлять как в левую, так и в правую сторону, но обязательно таким образом, чтобы после оказаться лицом к одной из стен (то есть на 90, 180, 270 градусов и т.д.). Задача участников после каждого хлопка совершать синхронные повороты и всем быть повернутыми лицом в одну и ту же сторону. </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t xml:space="preserve">Как правило, задача эта оказывается для группы невыполнимой, и после первого же хлопка участники стоят повернутые кто куда. Для такой перемешанной шеренги ведущий формулирует новую задачу: повернуть так, чтобы оказаться после повернутыми в одну и ту же сторону. Повороты продолжаются по команде ведущего до тех пор, пока не будет достигнута эта цель. </w:t>
      </w:r>
    </w:p>
    <w:p w:rsidR="0093471E" w:rsidRDefault="0093471E" w:rsidP="00B133DD">
      <w:pPr>
        <w:pStyle w:val="a5"/>
        <w:ind w:firstLine="709"/>
        <w:jc w:val="both"/>
        <w:rPr>
          <w:rFonts w:ascii="Arial" w:eastAsia="Times New Roman" w:hAnsi="Arial" w:cs="Arial"/>
          <w:i/>
          <w:u w:val="single"/>
        </w:rPr>
      </w:pPr>
    </w:p>
    <w:p w:rsidR="00482F6D" w:rsidRPr="00B133DD" w:rsidRDefault="00482F6D" w:rsidP="00B133DD">
      <w:pPr>
        <w:pStyle w:val="a5"/>
        <w:ind w:firstLine="709"/>
        <w:jc w:val="both"/>
        <w:rPr>
          <w:rFonts w:ascii="Arial" w:eastAsia="Times New Roman" w:hAnsi="Arial" w:cs="Arial"/>
          <w:i/>
          <w:u w:val="single"/>
        </w:rPr>
      </w:pPr>
      <w:r w:rsidRPr="00B133DD">
        <w:rPr>
          <w:rFonts w:ascii="Arial" w:eastAsia="Times New Roman" w:hAnsi="Arial" w:cs="Arial"/>
          <w:i/>
          <w:u w:val="single"/>
        </w:rPr>
        <w:t xml:space="preserve">"Выбор" </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t xml:space="preserve">Все участники рассаживаются в круг. По команде ведущего каждый из них должен указать пальцем на одного из своих товарищей по группе - допустим, на того, с кем он хотел бы составить пару в какой-то другой игре. Цель играющих - добиться в одной из попыток такого выбора, при котором группа распалась бы на пары взаимно выбравших друг друга участников. </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t xml:space="preserve">Эта игра требует от участников учета очень многих моментов и завершается обычно лишь после долгих и безуспешных попыток. </w:t>
      </w:r>
    </w:p>
    <w:p w:rsidR="0093471E" w:rsidRDefault="0093471E" w:rsidP="00B133DD">
      <w:pPr>
        <w:pStyle w:val="a5"/>
        <w:ind w:firstLine="709"/>
        <w:jc w:val="both"/>
        <w:rPr>
          <w:rFonts w:ascii="Arial" w:eastAsia="Times New Roman" w:hAnsi="Arial" w:cs="Arial"/>
          <w:i/>
          <w:u w:val="single"/>
        </w:rPr>
      </w:pPr>
    </w:p>
    <w:p w:rsidR="00482F6D" w:rsidRPr="00B133DD" w:rsidRDefault="00482F6D" w:rsidP="00B133DD">
      <w:pPr>
        <w:pStyle w:val="a5"/>
        <w:ind w:firstLine="709"/>
        <w:jc w:val="both"/>
        <w:rPr>
          <w:rFonts w:ascii="Arial" w:eastAsia="Times New Roman" w:hAnsi="Arial" w:cs="Arial"/>
          <w:i/>
          <w:u w:val="single"/>
        </w:rPr>
      </w:pPr>
      <w:r w:rsidRPr="00B133DD">
        <w:rPr>
          <w:rFonts w:ascii="Arial" w:eastAsia="Times New Roman" w:hAnsi="Arial" w:cs="Arial"/>
          <w:i/>
          <w:u w:val="single"/>
        </w:rPr>
        <w:t>"Стыковка"</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t xml:space="preserve">Игра проводится в четверках. Двое участников садятся друг против друга так, чтобы их колени соприкасались, и закрывают глаза. Указательные пальцы правых рук - "космические станции" - они вытягивают навстречу друг другу. Двое других игроков становятся позади сидящих. По сигналу каждый из стоящих участников начинает с помощью словесных команд или прикосновений управлять движениями правой руки </w:t>
      </w:r>
      <w:proofErr w:type="gramStart"/>
      <w:r w:rsidRPr="00B133DD">
        <w:rPr>
          <w:rFonts w:ascii="Arial" w:eastAsia="Times New Roman" w:hAnsi="Arial" w:cs="Arial"/>
        </w:rPr>
        <w:t>сидящего</w:t>
      </w:r>
      <w:proofErr w:type="gramEnd"/>
      <w:r w:rsidRPr="00B133DD">
        <w:rPr>
          <w:rFonts w:ascii="Arial" w:eastAsia="Times New Roman" w:hAnsi="Arial" w:cs="Arial"/>
        </w:rPr>
        <w:t xml:space="preserve"> перед ним. Цель стоящих за креслами игроков - свести концы указательных пальцев своих партнеров. </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t xml:space="preserve">Возможен и конкурентный вариант игры: один из игроков стремится увести свою "мишень" - ладонь сидящего перед собой человека от преследующей его "ракеты" - указательного пальца сидящего напротив. При этом ладонь должна, конечно, всегда оставаться в пределах досягаемости пальца, а лицо в целях безопасности - вне ее пределов. </w:t>
      </w:r>
    </w:p>
    <w:p w:rsidR="008F79C4" w:rsidRDefault="008F79C4" w:rsidP="00B133DD">
      <w:pPr>
        <w:pStyle w:val="a5"/>
        <w:ind w:firstLine="709"/>
        <w:jc w:val="both"/>
        <w:rPr>
          <w:rFonts w:ascii="Arial" w:eastAsia="Times New Roman" w:hAnsi="Arial" w:cs="Arial"/>
          <w:b/>
          <w:i/>
          <w:u w:val="single"/>
          <w:lang w:val="en-US"/>
        </w:rPr>
      </w:pPr>
    </w:p>
    <w:p w:rsidR="00482F6D" w:rsidRPr="00B133DD" w:rsidRDefault="00482F6D" w:rsidP="00B133DD">
      <w:pPr>
        <w:pStyle w:val="a5"/>
        <w:ind w:firstLine="709"/>
        <w:jc w:val="both"/>
        <w:rPr>
          <w:rFonts w:ascii="Arial" w:eastAsia="Times New Roman" w:hAnsi="Arial" w:cs="Arial"/>
          <w:b/>
          <w:i/>
        </w:rPr>
      </w:pPr>
      <w:r w:rsidRPr="00B133DD">
        <w:rPr>
          <w:rFonts w:ascii="Arial" w:eastAsia="Times New Roman" w:hAnsi="Arial" w:cs="Arial"/>
          <w:b/>
          <w:i/>
          <w:u w:val="single"/>
        </w:rPr>
        <w:t>• умение слушать:</w:t>
      </w:r>
    </w:p>
    <w:p w:rsidR="0093471E" w:rsidRDefault="0093471E" w:rsidP="00B133DD">
      <w:pPr>
        <w:pStyle w:val="a5"/>
        <w:ind w:firstLine="709"/>
        <w:jc w:val="both"/>
        <w:rPr>
          <w:rFonts w:ascii="Arial" w:eastAsia="Times New Roman" w:hAnsi="Arial" w:cs="Arial"/>
          <w:i/>
          <w:u w:val="single"/>
        </w:rPr>
      </w:pPr>
    </w:p>
    <w:p w:rsidR="00482F6D" w:rsidRPr="0093471E" w:rsidRDefault="0093471E" w:rsidP="00B133DD">
      <w:pPr>
        <w:pStyle w:val="a5"/>
        <w:ind w:firstLine="709"/>
        <w:jc w:val="both"/>
        <w:rPr>
          <w:rFonts w:ascii="Arial" w:eastAsia="Times New Roman" w:hAnsi="Arial" w:cs="Arial"/>
          <w:i/>
          <w:u w:val="single"/>
        </w:rPr>
      </w:pPr>
      <w:r>
        <w:rPr>
          <w:rFonts w:ascii="Arial" w:eastAsia="Times New Roman" w:hAnsi="Arial" w:cs="Arial"/>
          <w:i/>
          <w:u w:val="single"/>
          <w:lang w:val="en-US"/>
        </w:rPr>
        <w:t>“</w:t>
      </w:r>
      <w:r w:rsidR="00482F6D" w:rsidRPr="00B133DD">
        <w:rPr>
          <w:rFonts w:ascii="Arial" w:eastAsia="Times New Roman" w:hAnsi="Arial" w:cs="Arial"/>
          <w:i/>
          <w:u w:val="single"/>
        </w:rPr>
        <w:t>Заблудившийся рассказчик</w:t>
      </w:r>
      <w:r>
        <w:rPr>
          <w:rFonts w:ascii="Arial" w:eastAsia="Times New Roman" w:hAnsi="Arial" w:cs="Arial"/>
          <w:i/>
          <w:u w:val="single"/>
          <w:lang w:val="en-US"/>
        </w:rPr>
        <w:t>”</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t xml:space="preserve">Участники </w:t>
      </w:r>
      <w:proofErr w:type="spellStart"/>
      <w:r w:rsidRPr="00B133DD">
        <w:rPr>
          <w:rFonts w:ascii="Arial" w:eastAsia="Times New Roman" w:hAnsi="Arial" w:cs="Arial"/>
        </w:rPr>
        <w:t>расаживаются</w:t>
      </w:r>
      <w:proofErr w:type="spellEnd"/>
      <w:r w:rsidRPr="00B133DD">
        <w:rPr>
          <w:rFonts w:ascii="Arial" w:eastAsia="Times New Roman" w:hAnsi="Arial" w:cs="Arial"/>
        </w:rPr>
        <w:t xml:space="preserve"> в круг. Ведущий назначает тему разговора. Один из участников начинает развивать ее, а затем, следуя за случайными ассоциациями, уводит разговор в сторону. Он перескакивает с одной темы на другую, затем на третью, </w:t>
      </w:r>
      <w:proofErr w:type="gramStart"/>
      <w:r w:rsidRPr="00B133DD">
        <w:rPr>
          <w:rFonts w:ascii="Arial" w:eastAsia="Times New Roman" w:hAnsi="Arial" w:cs="Arial"/>
        </w:rPr>
        <w:t>стремится</w:t>
      </w:r>
      <w:proofErr w:type="gramEnd"/>
      <w:r w:rsidRPr="00B133DD">
        <w:rPr>
          <w:rFonts w:ascii="Arial" w:eastAsia="Times New Roman" w:hAnsi="Arial" w:cs="Arial"/>
        </w:rPr>
        <w:t xml:space="preserve"> как можно лучше "запутать" свое повествование. Затем </w:t>
      </w:r>
      <w:proofErr w:type="gramStart"/>
      <w:r w:rsidRPr="00B133DD">
        <w:rPr>
          <w:rFonts w:ascii="Arial" w:eastAsia="Times New Roman" w:hAnsi="Arial" w:cs="Arial"/>
        </w:rPr>
        <w:t>говорящий</w:t>
      </w:r>
      <w:proofErr w:type="gramEnd"/>
      <w:r w:rsidRPr="00B133DD">
        <w:rPr>
          <w:rFonts w:ascii="Arial" w:eastAsia="Times New Roman" w:hAnsi="Arial" w:cs="Arial"/>
        </w:rPr>
        <w:t xml:space="preserve"> жестом передает слово другому участнику. Слово может быть передано любому, поэтому за ходом игры следят все. Тот, на кого упал выбор, должен "распутать" разговор, то есть кратко пройтись по всем ассоциативным переключениям своего предшественника в обратном порядке - от конца к началу. Он возвращается к исходной, предложенной ведущим, теме. Затем сам "запутывает" разговор, передает слово кому-то другому, и так далее. </w:t>
      </w:r>
    </w:p>
    <w:p w:rsidR="00482F6D" w:rsidRPr="00B133DD" w:rsidRDefault="00482F6D" w:rsidP="00B133DD">
      <w:pPr>
        <w:pStyle w:val="a5"/>
        <w:ind w:firstLine="709"/>
        <w:jc w:val="both"/>
        <w:rPr>
          <w:rFonts w:ascii="Arial" w:eastAsia="Times New Roman" w:hAnsi="Arial" w:cs="Arial"/>
        </w:rPr>
      </w:pPr>
      <w:r w:rsidRPr="00B133DD">
        <w:rPr>
          <w:rFonts w:ascii="Arial" w:eastAsia="Times New Roman" w:hAnsi="Arial" w:cs="Arial"/>
        </w:rPr>
        <w:t>Анализ:</w:t>
      </w:r>
      <w:proofErr w:type="gramStart"/>
      <w:r w:rsidRPr="00B133DD">
        <w:rPr>
          <w:rFonts w:ascii="Arial" w:eastAsia="Times New Roman" w:hAnsi="Arial" w:cs="Arial"/>
        </w:rPr>
        <w:t xml:space="preserve"> .</w:t>
      </w:r>
      <w:proofErr w:type="gramEnd"/>
      <w:r w:rsidRPr="00B133DD">
        <w:rPr>
          <w:rFonts w:ascii="Arial" w:eastAsia="Times New Roman" w:hAnsi="Arial" w:cs="Arial"/>
        </w:rPr>
        <w:t xml:space="preserve">Обычно после непродолжительного </w:t>
      </w:r>
      <w:proofErr w:type="spellStart"/>
      <w:r w:rsidRPr="00B133DD">
        <w:rPr>
          <w:rFonts w:ascii="Arial" w:eastAsia="Times New Roman" w:hAnsi="Arial" w:cs="Arial"/>
        </w:rPr>
        <w:t>пробуксовывания</w:t>
      </w:r>
      <w:proofErr w:type="spellEnd"/>
      <w:r w:rsidRPr="00B133DD">
        <w:rPr>
          <w:rFonts w:ascii="Arial" w:eastAsia="Times New Roman" w:hAnsi="Arial" w:cs="Arial"/>
        </w:rPr>
        <w:t xml:space="preserve"> игра набирает темп и проходит оживленно, весело. После того как будут усвоены все тонкости игры и налажены все необходимые взаимодействия между участниками, длину ассоциативных рядов при "запутывании" следует постоянно наращивать. Чем длиннее ряд, тем более напряженной работы памяти и внимания требует он </w:t>
      </w:r>
      <w:proofErr w:type="gramStart"/>
      <w:r w:rsidRPr="00B133DD">
        <w:rPr>
          <w:rFonts w:ascii="Arial" w:eastAsia="Times New Roman" w:hAnsi="Arial" w:cs="Arial"/>
        </w:rPr>
        <w:t>от</w:t>
      </w:r>
      <w:proofErr w:type="gramEnd"/>
      <w:r w:rsidRPr="00B133DD">
        <w:rPr>
          <w:rFonts w:ascii="Arial" w:eastAsia="Times New Roman" w:hAnsi="Arial" w:cs="Arial"/>
        </w:rPr>
        <w:t xml:space="preserve"> следящих за рассказом. Игра является одним из способов выработки внутреннего контроля, так как в ходе нее участник привыкает отслеживать ассоциативные цепочки, удерживать в уме нить разговора, последовательность событий или ход собственных размышлений.</w:t>
      </w:r>
    </w:p>
    <w:p w:rsidR="00BD3819" w:rsidRPr="00B133DD" w:rsidRDefault="00BD3819" w:rsidP="00B133DD">
      <w:pPr>
        <w:pStyle w:val="a5"/>
        <w:ind w:firstLine="709"/>
        <w:jc w:val="both"/>
        <w:rPr>
          <w:rFonts w:ascii="Arial" w:hAnsi="Arial" w:cs="Arial"/>
        </w:rPr>
      </w:pPr>
    </w:p>
    <w:sectPr w:rsidR="00BD3819" w:rsidRPr="00B133DD" w:rsidSect="00B133DD">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482F6D"/>
    <w:rsid w:val="004374EF"/>
    <w:rsid w:val="00482F6D"/>
    <w:rsid w:val="008F79C4"/>
    <w:rsid w:val="0093471E"/>
    <w:rsid w:val="00B133DD"/>
    <w:rsid w:val="00BD3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2F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82F6D"/>
    <w:rPr>
      <w:b/>
      <w:bCs/>
    </w:rPr>
  </w:style>
  <w:style w:type="paragraph" w:styleId="a5">
    <w:name w:val="No Spacing"/>
    <w:uiPriority w:val="1"/>
    <w:qFormat/>
    <w:rsid w:val="00B133DD"/>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853143">
      <w:bodyDiv w:val="1"/>
      <w:marLeft w:val="0"/>
      <w:marRight w:val="0"/>
      <w:marTop w:val="0"/>
      <w:marBottom w:val="0"/>
      <w:divBdr>
        <w:top w:val="none" w:sz="0" w:space="0" w:color="auto"/>
        <w:left w:val="none" w:sz="0" w:space="0" w:color="auto"/>
        <w:bottom w:val="none" w:sz="0" w:space="0" w:color="auto"/>
        <w:right w:val="none" w:sz="0" w:space="0" w:color="auto"/>
      </w:divBdr>
      <w:divsChild>
        <w:div w:id="4460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517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6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1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11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0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04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49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740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39098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19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076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42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59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14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09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53141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869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60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501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10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5140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58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258023">
          <w:blockQuote w:val="1"/>
          <w:marLeft w:val="720"/>
          <w:marRight w:val="720"/>
          <w:marTop w:val="100"/>
          <w:marBottom w:val="100"/>
          <w:divBdr>
            <w:top w:val="none" w:sz="0" w:space="0" w:color="auto"/>
            <w:left w:val="none" w:sz="0" w:space="0" w:color="auto"/>
            <w:bottom w:val="none" w:sz="0" w:space="0" w:color="auto"/>
            <w:right w:val="none" w:sz="0" w:space="0" w:color="auto"/>
          </w:divBdr>
        </w:div>
        <w:div w:id="786462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35222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3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34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1182</Words>
  <Characters>6741</Characters>
  <Application>Microsoft Office Word</Application>
  <DocSecurity>0</DocSecurity>
  <Lines>56</Lines>
  <Paragraphs>15</Paragraphs>
  <ScaleCrop>false</ScaleCrop>
  <Company>Reanimator Extreme Edition</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2011-07-21T06:52:00Z</dcterms:created>
  <dcterms:modified xsi:type="dcterms:W3CDTF">2011-07-22T08:20:00Z</dcterms:modified>
</cp:coreProperties>
</file>