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A6" w:rsidRPr="0095097E" w:rsidRDefault="00B718A6" w:rsidP="00B718A6">
      <w:pPr>
        <w:pStyle w:val="a5"/>
        <w:keepNext/>
        <w:jc w:val="center"/>
        <w:rPr>
          <w:color w:val="000000" w:themeColor="text1"/>
          <w:sz w:val="28"/>
          <w:szCs w:val="28"/>
        </w:rPr>
      </w:pPr>
      <w:r w:rsidRPr="0095097E">
        <w:rPr>
          <w:color w:val="000000" w:themeColor="text1"/>
          <w:sz w:val="28"/>
          <w:szCs w:val="28"/>
        </w:rPr>
        <w:t xml:space="preserve"> </w:t>
      </w:r>
      <w:r w:rsidR="00903B87">
        <w:rPr>
          <w:color w:val="000000" w:themeColor="text1"/>
          <w:sz w:val="28"/>
          <w:szCs w:val="28"/>
        </w:rPr>
        <w:t xml:space="preserve">Приложение </w:t>
      </w:r>
      <w:r w:rsidR="00374926">
        <w:rPr>
          <w:color w:val="000000" w:themeColor="text1"/>
          <w:sz w:val="28"/>
          <w:szCs w:val="28"/>
        </w:rPr>
        <w:t>3</w:t>
      </w:r>
      <w:r w:rsidR="00903B87">
        <w:rPr>
          <w:color w:val="000000" w:themeColor="text1"/>
          <w:sz w:val="28"/>
          <w:szCs w:val="28"/>
        </w:rPr>
        <w:t>.</w:t>
      </w:r>
    </w:p>
    <w:p w:rsidR="0095097E" w:rsidRDefault="00B718A6">
      <w:pPr>
        <w:rPr>
          <w:sz w:val="28"/>
          <w:szCs w:val="28"/>
        </w:rPr>
      </w:pPr>
      <w:r w:rsidRPr="0095097E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071A6" w:rsidRDefault="00B071A6">
      <w:pPr>
        <w:rPr>
          <w:sz w:val="28"/>
          <w:szCs w:val="28"/>
        </w:rPr>
      </w:pPr>
    </w:p>
    <w:p w:rsidR="00B071A6" w:rsidRDefault="00EA7892" w:rsidP="00B071A6">
      <w:pPr>
        <w:keepNext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Default="00EA7892">
      <w:pPr>
        <w:rPr>
          <w:sz w:val="28"/>
          <w:szCs w:val="28"/>
        </w:rPr>
      </w:pPr>
    </w:p>
    <w:p w:rsidR="00EA7892" w:rsidRPr="0095097E" w:rsidRDefault="00EA7892">
      <w:pPr>
        <w:rPr>
          <w:sz w:val="28"/>
          <w:szCs w:val="28"/>
        </w:rPr>
      </w:pPr>
    </w:p>
    <w:p w:rsidR="0095097E" w:rsidRPr="00903B87" w:rsidRDefault="00903B87" w:rsidP="00903B87">
      <w:pPr>
        <w:jc w:val="center"/>
        <w:rPr>
          <w:b/>
          <w:sz w:val="28"/>
          <w:szCs w:val="28"/>
        </w:rPr>
      </w:pPr>
      <w:r w:rsidRPr="00903B87">
        <w:rPr>
          <w:b/>
          <w:sz w:val="28"/>
          <w:szCs w:val="28"/>
        </w:rPr>
        <w:t>Приложение</w:t>
      </w:r>
      <w:r w:rsidR="00374926">
        <w:rPr>
          <w:b/>
          <w:sz w:val="28"/>
          <w:szCs w:val="28"/>
        </w:rPr>
        <w:t xml:space="preserve"> 4</w:t>
      </w:r>
      <w:r w:rsidRPr="00903B87">
        <w:rPr>
          <w:b/>
          <w:sz w:val="28"/>
          <w:szCs w:val="28"/>
        </w:rPr>
        <w:t>.</w:t>
      </w:r>
    </w:p>
    <w:p w:rsidR="0095097E" w:rsidRPr="0095097E" w:rsidRDefault="0095097E" w:rsidP="0095097E">
      <w:pPr>
        <w:tabs>
          <w:tab w:val="left" w:pos="3965"/>
        </w:tabs>
        <w:jc w:val="center"/>
        <w:rPr>
          <w:sz w:val="28"/>
          <w:szCs w:val="28"/>
        </w:rPr>
      </w:pPr>
      <w:r w:rsidRPr="0095097E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5097E" w:rsidRPr="0095097E" w:rsidSect="00114D4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18A6"/>
    <w:rsid w:val="00012946"/>
    <w:rsid w:val="0007489D"/>
    <w:rsid w:val="00114D44"/>
    <w:rsid w:val="00154553"/>
    <w:rsid w:val="00374926"/>
    <w:rsid w:val="007D1BB3"/>
    <w:rsid w:val="00853095"/>
    <w:rsid w:val="008B2A2B"/>
    <w:rsid w:val="00903B87"/>
    <w:rsid w:val="0095097E"/>
    <w:rsid w:val="00AA7F6A"/>
    <w:rsid w:val="00B071A6"/>
    <w:rsid w:val="00B718A6"/>
    <w:rsid w:val="00D02152"/>
    <w:rsid w:val="00EA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A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718A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/>
              <a:t>Динамика общей и качественной успеваемости (%)</a:t>
            </a:r>
            <a:endParaRPr lang="ru-RU" sz="1400" b="1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успеваемость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Качественная успеваемость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56</c:v>
                </c:pt>
                <c:pt idx="2">
                  <c:v>65</c:v>
                </c:pt>
              </c:numCache>
            </c:numRef>
          </c:val>
        </c:ser>
        <c:axId val="52944896"/>
        <c:axId val="52946432"/>
      </c:barChart>
      <c:catAx>
        <c:axId val="52944896"/>
        <c:scaling>
          <c:orientation val="minMax"/>
        </c:scaling>
        <c:axPos val="b"/>
        <c:majorTickMark val="none"/>
        <c:tickLblPos val="nextTo"/>
        <c:crossAx val="52946432"/>
        <c:crosses val="autoZero"/>
        <c:auto val="1"/>
        <c:lblAlgn val="ctr"/>
        <c:lblOffset val="100"/>
      </c:catAx>
      <c:valAx>
        <c:axId val="52946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294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77537182852253"/>
          <c:y val="0.41284870641169852"/>
          <c:w val="0.32533573928259002"/>
          <c:h val="0.2778340207474068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/>
              <a:t>Мониторинг познавательных способностей (%)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интеллектуальная лабильность</c:v>
                </c:pt>
                <c:pt idx="1">
                  <c:v>гибкость мышления</c:v>
                </c:pt>
                <c:pt idx="2">
                  <c:v>продуктивность мышления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69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интеллектуальная лабильность</c:v>
                </c:pt>
                <c:pt idx="1">
                  <c:v>гибкость мышления</c:v>
                </c:pt>
                <c:pt idx="2">
                  <c:v>продуктивность мышления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76</c:v>
                </c:pt>
                <c:pt idx="2">
                  <c:v>72</c:v>
                </c:pt>
              </c:numCache>
            </c:numRef>
          </c:val>
        </c:ser>
        <c:dLbls>
          <c:showVal val="1"/>
        </c:dLbls>
        <c:overlap val="-25"/>
        <c:axId val="66277760"/>
        <c:axId val="67943040"/>
      </c:barChart>
      <c:catAx>
        <c:axId val="66277760"/>
        <c:scaling>
          <c:orientation val="minMax"/>
        </c:scaling>
        <c:axPos val="b"/>
        <c:majorTickMark val="none"/>
        <c:tickLblPos val="nextTo"/>
        <c:crossAx val="67943040"/>
        <c:crosses val="autoZero"/>
        <c:auto val="1"/>
        <c:lblAlgn val="ctr"/>
        <c:lblOffset val="100"/>
      </c:catAx>
      <c:valAx>
        <c:axId val="67943040"/>
        <c:scaling>
          <c:orientation val="minMax"/>
        </c:scaling>
        <c:delete val="1"/>
        <c:axPos val="l"/>
        <c:numFmt formatCode="General" sourceLinked="1"/>
        <c:tickLblPos val="none"/>
        <c:crossAx val="6627776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результатов итоговой аттестации (ГИА) (%)</a:t>
            </a:r>
          </a:p>
        </c:rich>
      </c:tx>
    </c:title>
    <c:plotArea>
      <c:layout>
        <c:manualLayout>
          <c:layoutTarget val="inner"/>
          <c:xMode val="edge"/>
          <c:yMode val="edge"/>
          <c:x val="7.8670895304753546E-2"/>
          <c:y val="0.25417666541682288"/>
          <c:w val="0.57517279090113738"/>
          <c:h val="0.646412010998625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71</c:v>
                </c:pt>
              </c:numCache>
            </c:numRef>
          </c:val>
        </c:ser>
        <c:axId val="84969728"/>
        <c:axId val="84997632"/>
      </c:barChart>
      <c:catAx>
        <c:axId val="84969728"/>
        <c:scaling>
          <c:orientation val="minMax"/>
        </c:scaling>
        <c:axPos val="b"/>
        <c:majorTickMark val="none"/>
        <c:tickLblPos val="nextTo"/>
        <c:crossAx val="84997632"/>
        <c:crosses val="autoZero"/>
        <c:auto val="1"/>
        <c:lblAlgn val="ctr"/>
        <c:lblOffset val="100"/>
      </c:catAx>
      <c:valAx>
        <c:axId val="84997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496972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dcterms:created xsi:type="dcterms:W3CDTF">2014-11-28T15:37:00Z</dcterms:created>
  <dcterms:modified xsi:type="dcterms:W3CDTF">2014-11-29T16:28:00Z</dcterms:modified>
</cp:coreProperties>
</file>