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43" w:rsidRDefault="00B30D43" w:rsidP="00B30D43">
      <w:pPr>
        <w:jc w:val="center"/>
        <w:rPr>
          <w:sz w:val="72"/>
          <w:szCs w:val="72"/>
        </w:rPr>
      </w:pPr>
    </w:p>
    <w:p w:rsidR="00B30D43" w:rsidRDefault="00B30D43" w:rsidP="00B30D43">
      <w:pPr>
        <w:jc w:val="center"/>
        <w:rPr>
          <w:sz w:val="72"/>
          <w:szCs w:val="72"/>
        </w:rPr>
      </w:pPr>
    </w:p>
    <w:p w:rsidR="00B30D43" w:rsidRDefault="00B30D43" w:rsidP="00B30D43">
      <w:pPr>
        <w:jc w:val="center"/>
        <w:rPr>
          <w:sz w:val="72"/>
          <w:szCs w:val="72"/>
        </w:rPr>
      </w:pPr>
    </w:p>
    <w:p w:rsidR="00B30D43" w:rsidRDefault="00B30D43" w:rsidP="00B30D43">
      <w:pPr>
        <w:tabs>
          <w:tab w:val="left" w:pos="2865"/>
        </w:tabs>
        <w:jc w:val="center"/>
        <w:rPr>
          <w:rFonts w:ascii="Bookman Old Style" w:hAnsi="Bookman Old Style"/>
          <w:color w:val="000080"/>
          <w:sz w:val="72"/>
          <w:szCs w:val="72"/>
        </w:rPr>
      </w:pPr>
      <w:r>
        <w:rPr>
          <w:rFonts w:ascii="Bookman Old Style" w:hAnsi="Bookman Old Style"/>
          <w:color w:val="000080"/>
          <w:sz w:val="72"/>
          <w:szCs w:val="72"/>
        </w:rPr>
        <w:t>Нарушения поведения у подростков и их связь с характерологическими особенностями</w:t>
      </w:r>
    </w:p>
    <w:p w:rsidR="00B30D43" w:rsidRDefault="00B30D43" w:rsidP="00B30D43">
      <w:pPr>
        <w:tabs>
          <w:tab w:val="left" w:pos="2865"/>
        </w:tabs>
        <w:jc w:val="center"/>
        <w:rPr>
          <w:rFonts w:ascii="Bookman Old Style" w:hAnsi="Bookman Old Style"/>
          <w:color w:val="000080"/>
          <w:sz w:val="52"/>
          <w:szCs w:val="52"/>
        </w:rPr>
      </w:pPr>
      <w:r>
        <w:rPr>
          <w:rFonts w:ascii="Bookman Old Style" w:hAnsi="Bookman Old Style"/>
          <w:color w:val="000080"/>
          <w:sz w:val="52"/>
          <w:szCs w:val="52"/>
        </w:rPr>
        <w:t xml:space="preserve">(для выступления на </w:t>
      </w:r>
      <w:proofErr w:type="spellStart"/>
      <w:r>
        <w:rPr>
          <w:rFonts w:ascii="Bookman Old Style" w:hAnsi="Bookman Old Style"/>
          <w:color w:val="000080"/>
          <w:sz w:val="52"/>
          <w:szCs w:val="52"/>
        </w:rPr>
        <w:t>пед.совете</w:t>
      </w:r>
      <w:proofErr w:type="spellEnd"/>
      <w:r>
        <w:rPr>
          <w:rFonts w:ascii="Bookman Old Style" w:hAnsi="Bookman Old Style"/>
          <w:color w:val="000080"/>
          <w:sz w:val="52"/>
          <w:szCs w:val="52"/>
        </w:rPr>
        <w:t>)</w:t>
      </w:r>
    </w:p>
    <w:p w:rsidR="00B30D43" w:rsidRDefault="00B30D43" w:rsidP="00B30D43">
      <w:pPr>
        <w:tabs>
          <w:tab w:val="left" w:pos="2865"/>
        </w:tabs>
        <w:jc w:val="center"/>
        <w:rPr>
          <w:rFonts w:ascii="Bookman Old Style" w:hAnsi="Bookman Old Style"/>
          <w:color w:val="000080"/>
          <w:sz w:val="52"/>
          <w:szCs w:val="52"/>
        </w:rPr>
      </w:pPr>
    </w:p>
    <w:p w:rsidR="00B30D43" w:rsidRDefault="00B30D43" w:rsidP="00B30D43">
      <w:pPr>
        <w:tabs>
          <w:tab w:val="left" w:pos="2865"/>
        </w:tabs>
        <w:jc w:val="center"/>
        <w:rPr>
          <w:rFonts w:ascii="Bookman Old Style" w:hAnsi="Bookman Old Style"/>
          <w:color w:val="000080"/>
          <w:sz w:val="52"/>
          <w:szCs w:val="52"/>
        </w:rPr>
      </w:pPr>
    </w:p>
    <w:p w:rsidR="00B30D43" w:rsidRDefault="00B30D43" w:rsidP="00B30D43">
      <w:pPr>
        <w:tabs>
          <w:tab w:val="left" w:pos="2865"/>
        </w:tabs>
        <w:jc w:val="center"/>
        <w:rPr>
          <w:rFonts w:ascii="Bookman Old Style" w:hAnsi="Bookman Old Style"/>
          <w:color w:val="000080"/>
          <w:sz w:val="52"/>
          <w:szCs w:val="52"/>
        </w:rPr>
      </w:pPr>
    </w:p>
    <w:p w:rsidR="00B30D43" w:rsidRDefault="00B30D43" w:rsidP="00B30D43">
      <w:pPr>
        <w:tabs>
          <w:tab w:val="left" w:pos="2865"/>
        </w:tabs>
        <w:jc w:val="center"/>
        <w:rPr>
          <w:rFonts w:ascii="Bookman Old Style" w:hAnsi="Bookman Old Style"/>
          <w:color w:val="000080"/>
          <w:sz w:val="52"/>
          <w:szCs w:val="52"/>
        </w:rPr>
      </w:pPr>
    </w:p>
    <w:p w:rsidR="00B30D43" w:rsidRDefault="00B30D43" w:rsidP="00B30D43">
      <w:pPr>
        <w:tabs>
          <w:tab w:val="left" w:pos="4253"/>
          <w:tab w:val="left" w:pos="5103"/>
        </w:tabs>
        <w:ind w:left="3544" w:hanging="567"/>
        <w:jc w:val="center"/>
        <w:rPr>
          <w:rFonts w:ascii="Bookman Old Style" w:hAnsi="Bookman Old Style"/>
          <w:color w:val="000080"/>
          <w:sz w:val="36"/>
          <w:szCs w:val="36"/>
        </w:rPr>
      </w:pPr>
      <w:r>
        <w:rPr>
          <w:rFonts w:ascii="Bookman Old Style" w:hAnsi="Bookman Old Style"/>
          <w:color w:val="000080"/>
          <w:sz w:val="36"/>
          <w:szCs w:val="36"/>
        </w:rPr>
        <w:t xml:space="preserve">                                 </w:t>
      </w:r>
      <w:proofErr w:type="spellStart"/>
      <w:r>
        <w:rPr>
          <w:rFonts w:ascii="Bookman Old Style" w:hAnsi="Bookman Old Style"/>
          <w:color w:val="000080"/>
          <w:sz w:val="36"/>
          <w:szCs w:val="36"/>
        </w:rPr>
        <w:t>Полномошнов</w:t>
      </w:r>
      <w:proofErr w:type="spellEnd"/>
      <w:r>
        <w:rPr>
          <w:rFonts w:ascii="Bookman Old Style" w:hAnsi="Bookman Old Style"/>
          <w:color w:val="000080"/>
          <w:sz w:val="36"/>
          <w:szCs w:val="36"/>
        </w:rPr>
        <w:t xml:space="preserve"> </w:t>
      </w:r>
    </w:p>
    <w:p w:rsidR="00B30D43" w:rsidRDefault="00B30D43" w:rsidP="00B30D43">
      <w:pPr>
        <w:tabs>
          <w:tab w:val="left" w:pos="4253"/>
          <w:tab w:val="left" w:pos="5103"/>
        </w:tabs>
        <w:ind w:left="4820"/>
        <w:jc w:val="center"/>
        <w:rPr>
          <w:rFonts w:ascii="Bookman Old Style" w:hAnsi="Bookman Old Style"/>
          <w:color w:val="000080"/>
          <w:sz w:val="36"/>
          <w:szCs w:val="36"/>
        </w:rPr>
      </w:pPr>
      <w:r>
        <w:rPr>
          <w:rFonts w:ascii="Bookman Old Style" w:hAnsi="Bookman Old Style"/>
          <w:color w:val="000080"/>
          <w:sz w:val="36"/>
          <w:szCs w:val="36"/>
        </w:rPr>
        <w:t>Виктор Владимирович,</w:t>
      </w:r>
    </w:p>
    <w:p w:rsidR="00B30D43" w:rsidRDefault="00B30D43" w:rsidP="00B30D43">
      <w:pPr>
        <w:tabs>
          <w:tab w:val="left" w:pos="4253"/>
          <w:tab w:val="left" w:pos="5103"/>
        </w:tabs>
        <w:ind w:left="4820"/>
        <w:jc w:val="center"/>
        <w:rPr>
          <w:rFonts w:ascii="Bookman Old Style" w:hAnsi="Bookman Old Style"/>
          <w:color w:val="000080"/>
          <w:sz w:val="36"/>
          <w:szCs w:val="36"/>
        </w:rPr>
      </w:pPr>
      <w:r>
        <w:rPr>
          <w:rFonts w:ascii="Bookman Old Style" w:hAnsi="Bookman Old Style"/>
          <w:color w:val="000080"/>
          <w:sz w:val="36"/>
          <w:szCs w:val="36"/>
        </w:rPr>
        <w:t>учитель технологии</w:t>
      </w:r>
    </w:p>
    <w:p w:rsidR="00B30D43" w:rsidRDefault="00B30D43" w:rsidP="00B30D43">
      <w:pPr>
        <w:tabs>
          <w:tab w:val="left" w:pos="2865"/>
          <w:tab w:val="left" w:pos="5103"/>
        </w:tabs>
        <w:jc w:val="center"/>
        <w:rPr>
          <w:rFonts w:ascii="Bookman Old Style" w:hAnsi="Bookman Old Style"/>
          <w:color w:val="000080"/>
          <w:sz w:val="36"/>
          <w:szCs w:val="36"/>
        </w:rPr>
      </w:pPr>
    </w:p>
    <w:p w:rsidR="00B30D43" w:rsidRDefault="00B30D43" w:rsidP="00B30D43">
      <w:pPr>
        <w:tabs>
          <w:tab w:val="left" w:pos="2865"/>
        </w:tabs>
        <w:ind w:firstLine="360"/>
        <w:jc w:val="both"/>
        <w:rPr>
          <w:rFonts w:ascii="Times New Roman" w:hAnsi="Times New Roman"/>
        </w:rPr>
      </w:pPr>
      <w:r>
        <w:rPr>
          <w:rFonts w:ascii="Bookman Old Style" w:hAnsi="Bookman Old Style"/>
          <w:b/>
          <w:color w:val="000080"/>
          <w:sz w:val="72"/>
          <w:szCs w:val="72"/>
        </w:rPr>
        <w:br w:type="page"/>
      </w:r>
      <w:r>
        <w:rPr>
          <w:rFonts w:ascii="Times New Roman" w:hAnsi="Times New Roman"/>
        </w:rPr>
        <w:lastRenderedPageBreak/>
        <w:t xml:space="preserve">В возрасте 10-11 до 14-15 лет в развитии ребёнка наступает сильный подъём всей его жизненной деятельности и глубокая перестройка организма и его функций. Это период быстрого роста детей. Начавшееся функционирование половых желез резко меняет ход всего развития, в результате чего изменяется психика и поведение ребёнка. По сути дела этот возраст представляет собой переход из детского в юношеский возраст. Поэтому возникает противоречие: ребёнок чувствует себя взрослым (или почти взрослым), а, в сущности, возможности его совсем детские. </w:t>
      </w:r>
    </w:p>
    <w:p w:rsidR="00B30D43" w:rsidRDefault="00B30D43" w:rsidP="00B30D43">
      <w:pPr>
        <w:tabs>
          <w:tab w:val="left" w:pos="2865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Трудности социальной адаптации и связанные с ней нарушения поведения вызваны большим разрывом между ранним физическим созреванием и социальной незрелостью, а также распадом одной возрастной когорты на </w:t>
      </w:r>
      <w:proofErr w:type="spellStart"/>
      <w:r>
        <w:rPr>
          <w:rFonts w:ascii="Times New Roman" w:hAnsi="Times New Roman"/>
        </w:rPr>
        <w:t>акселерированных</w:t>
      </w:r>
      <w:proofErr w:type="spellEnd"/>
      <w:r>
        <w:rPr>
          <w:rFonts w:ascii="Times New Roman" w:hAnsi="Times New Roman"/>
        </w:rPr>
        <w:t xml:space="preserve"> и инфантильных.</w:t>
      </w:r>
    </w:p>
    <w:p w:rsidR="00B30D43" w:rsidRDefault="00B30D43" w:rsidP="00B30D43">
      <w:pPr>
        <w:tabs>
          <w:tab w:val="left" w:pos="2865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Акселерация</w:t>
      </w:r>
      <w:r>
        <w:rPr>
          <w:rFonts w:ascii="Times New Roman" w:hAnsi="Times New Roman"/>
        </w:rPr>
        <w:t xml:space="preserve"> развития детей является частью широкого комплекса явлений, получившего название «тенденции века». Это не только ускорение физического развития, но и раннее психическое развитие.</w:t>
      </w:r>
    </w:p>
    <w:p w:rsidR="00B30D43" w:rsidRDefault="00B30D43" w:rsidP="00B30D43">
      <w:pPr>
        <w:tabs>
          <w:tab w:val="left" w:pos="2865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то же время какие-то стороны психического развитие не претерпевают ускорения. Создаётся определённый диссонанс: детские черты переплетаются с интересами взрослых, выражена эмоциональная неустойчивость, податливость случайным влияниям, недостаточная развитость чувства долга и ответственности.</w:t>
      </w:r>
    </w:p>
    <w:p w:rsidR="00B30D43" w:rsidRDefault="00B30D43" w:rsidP="00B30D43">
      <w:pPr>
        <w:tabs>
          <w:tab w:val="left" w:pos="2865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Другая диспропорция возникает внутри одной возрастной группы: у одних развитие происходит с резким ускорением его темпа, у других – более медленно. Это также является фактором, способствующим нарушениям поведения.</w:t>
      </w:r>
    </w:p>
    <w:p w:rsidR="00B30D43" w:rsidRDefault="00B30D43" w:rsidP="00B30D43">
      <w:pPr>
        <w:tabs>
          <w:tab w:val="left" w:pos="2865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Инфантилизм</w:t>
      </w:r>
      <w:r>
        <w:rPr>
          <w:rFonts w:ascii="Times New Roman" w:hAnsi="Times New Roman"/>
        </w:rPr>
        <w:t xml:space="preserve"> проявляется в виде отставания в физическом развитии и психосоциальном созревании. Такие дети оказываются в сложном положении: они чувствуют себя отвергнутыми, у них затруднены контакты со сверстниками. Часть из них тянется  к малышам, но другая – встаёт на путь нарушений поведения, в основе которых нередко лежат ещё детские реакции оппозиции, подражание более старшим, развитым и «ярким», с их точки зрения, ребятам.</w:t>
      </w:r>
    </w:p>
    <w:p w:rsidR="00B30D43" w:rsidRDefault="00B30D43" w:rsidP="00B30D43">
      <w:pPr>
        <w:tabs>
          <w:tab w:val="left" w:pos="2865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акселерации больше страдают девочки, при инфантилизме – мальчики.</w:t>
      </w:r>
    </w:p>
    <w:p w:rsidR="00B30D43" w:rsidRDefault="00B30D43" w:rsidP="00B30D43">
      <w:pPr>
        <w:tabs>
          <w:tab w:val="left" w:pos="2865"/>
        </w:tabs>
        <w:ind w:firstLine="360"/>
        <w:jc w:val="both"/>
        <w:rPr>
          <w:rFonts w:ascii="Times New Roman" w:hAnsi="Times New Roman"/>
        </w:rPr>
      </w:pPr>
    </w:p>
    <w:p w:rsidR="00B30D43" w:rsidRDefault="00B30D43" w:rsidP="00B30D43">
      <w:pPr>
        <w:tabs>
          <w:tab w:val="left" w:pos="2865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этом возрасте дети особенно чувствительны ко всему, что касается их личности, часто обижаются, легко ранимы. Они сильно жаждут уважения, но критичны к другим. Объектом их критики чаще всего бывают учителя, реже – родители.</w:t>
      </w:r>
    </w:p>
    <w:p w:rsidR="00B30D43" w:rsidRDefault="00B30D43" w:rsidP="00B30D43">
      <w:pPr>
        <w:tabs>
          <w:tab w:val="left" w:pos="2865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Эмоциональная неустойчивость выражается в быстром переходе из одной крайности в другую. Страх и колебание могут быстро смениться решительностью и смелостью, смущение – резким сопротивлением всему, что говорят старшие. Сентиментальность уживается порой с чёрствостью, болезненная застенчивость – с развязностью.</w:t>
      </w:r>
    </w:p>
    <w:p w:rsidR="00B30D43" w:rsidRDefault="00B30D43" w:rsidP="00B30D43">
      <w:pPr>
        <w:tabs>
          <w:tab w:val="left" w:pos="2865"/>
        </w:tabs>
        <w:ind w:firstLine="360"/>
        <w:jc w:val="both"/>
        <w:rPr>
          <w:rFonts w:ascii="Times New Roman" w:hAnsi="Times New Roman"/>
        </w:rPr>
      </w:pPr>
    </w:p>
    <w:p w:rsidR="00B30D43" w:rsidRDefault="00B30D43" w:rsidP="00B30D43">
      <w:pPr>
        <w:tabs>
          <w:tab w:val="left" w:pos="2865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Нарушения поведения часто обуславливаются поведенческими реакциями на воздействие окружающей социальной среды. </w:t>
      </w:r>
    </w:p>
    <w:p w:rsidR="00B30D43" w:rsidRDefault="00B30D43" w:rsidP="00B30D43">
      <w:pPr>
        <w:tabs>
          <w:tab w:val="left" w:pos="2865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Эти реакции:</w:t>
      </w:r>
    </w:p>
    <w:p w:rsidR="00B30D43" w:rsidRDefault="00B30D43" w:rsidP="00B30D43">
      <w:pPr>
        <w:tabs>
          <w:tab w:val="left" w:pos="2865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1 - эмансипация;</w:t>
      </w:r>
    </w:p>
    <w:p w:rsidR="00B30D43" w:rsidRDefault="00B30D43" w:rsidP="00B30D43">
      <w:pPr>
        <w:tabs>
          <w:tab w:val="left" w:pos="2865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– группирование со сверстниками;</w:t>
      </w:r>
    </w:p>
    <w:p w:rsidR="00B30D43" w:rsidRDefault="00B30D43" w:rsidP="00B30D43">
      <w:pPr>
        <w:tabs>
          <w:tab w:val="left" w:pos="2865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– хобби-реакции.</w:t>
      </w:r>
    </w:p>
    <w:p w:rsidR="00B30D43" w:rsidRDefault="00B30D43" w:rsidP="00B30D43">
      <w:pPr>
        <w:tabs>
          <w:tab w:val="left" w:pos="2865"/>
        </w:tabs>
        <w:ind w:firstLine="360"/>
        <w:jc w:val="both"/>
        <w:rPr>
          <w:rFonts w:ascii="Times New Roman" w:hAnsi="Times New Roman"/>
        </w:rPr>
      </w:pPr>
    </w:p>
    <w:p w:rsidR="00B30D43" w:rsidRDefault="00B30D43" w:rsidP="00B30D43">
      <w:pPr>
        <w:tabs>
          <w:tab w:val="left" w:pos="2865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1).</w:t>
      </w:r>
      <w:r>
        <w:rPr>
          <w:rFonts w:ascii="Times New Roman" w:hAnsi="Times New Roman"/>
        </w:rPr>
        <w:t xml:space="preserve"> Проявляется стремлением освободиться из-под опеки, контроля, покровительства. Дети с таким типом не подчиняются правилам, порядкам, а зачастую и законам. Все нормы поведения и духовные ценности отрицаются. Крайняя форма – побеги из дома, бродяжничество, которые диктуются стремлением «жить свободной жизнью», «ни от кого не зависеть».</w:t>
      </w:r>
    </w:p>
    <w:p w:rsidR="00B30D43" w:rsidRDefault="00B30D43" w:rsidP="00B30D43">
      <w:pPr>
        <w:tabs>
          <w:tab w:val="left" w:pos="2865"/>
        </w:tabs>
        <w:ind w:firstLine="360"/>
        <w:jc w:val="both"/>
        <w:rPr>
          <w:rFonts w:ascii="Times New Roman" w:hAnsi="Times New Roman"/>
        </w:rPr>
      </w:pPr>
    </w:p>
    <w:p w:rsidR="00B30D43" w:rsidRDefault="00B30D43" w:rsidP="00B30D43">
      <w:pPr>
        <w:tabs>
          <w:tab w:val="left" w:pos="2865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2).</w:t>
      </w:r>
      <w:r>
        <w:rPr>
          <w:rFonts w:ascii="Times New Roman" w:hAnsi="Times New Roman"/>
        </w:rPr>
        <w:t xml:space="preserve"> Это социально-психологическая закономерность формирования личности. Общение со сверстниками даёт возможность померяться силами (как духовными, так и физическими) с равными себе, ощутить и оценить себя и других. Отношения со сверстниками дают незаменимый опыт социального общения.</w:t>
      </w:r>
    </w:p>
    <w:p w:rsidR="00B30D43" w:rsidRDefault="00B30D43" w:rsidP="00B30D43">
      <w:pPr>
        <w:tabs>
          <w:tab w:val="left" w:pos="2865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Реакция группирования может проявляться очень сильно (особенно при семейно-педагогической запущенности) и стать главным регулятором поведения ребёнка. Подавляющее большинство правонарушений, алкоголизация совершаются в группе.</w:t>
      </w:r>
    </w:p>
    <w:p w:rsidR="00B30D43" w:rsidRDefault="00B30D43" w:rsidP="00B30D43">
      <w:pPr>
        <w:tabs>
          <w:tab w:val="left" w:pos="2865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Есть 2 вида групп: </w:t>
      </w:r>
    </w:p>
    <w:p w:rsidR="00B30D43" w:rsidRDefault="00B30D43" w:rsidP="00B30D43">
      <w:pPr>
        <w:tabs>
          <w:tab w:val="left" w:pos="2865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а). С постоянным составом, наличием лидера, фиксированной социальной ролью. Состав таких групп стабилен, новичкам даётся задание при вступлении, обычно это группы из лиц мужского пола.</w:t>
      </w:r>
    </w:p>
    <w:p w:rsidR="00B30D43" w:rsidRDefault="00B30D43" w:rsidP="00B30D43">
      <w:pPr>
        <w:tabs>
          <w:tab w:val="left" w:pos="2865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б). Нестабильные по составу, распределению ролей, отсутствие каких-либо чётких требований, нерегламентированная жизнь. Часто состав таких групп разнополый.</w:t>
      </w:r>
    </w:p>
    <w:p w:rsidR="00B30D43" w:rsidRDefault="00B30D43" w:rsidP="00B30D43">
      <w:pPr>
        <w:tabs>
          <w:tab w:val="left" w:pos="2865"/>
        </w:tabs>
        <w:ind w:firstLine="360"/>
        <w:jc w:val="both"/>
        <w:rPr>
          <w:rFonts w:ascii="Times New Roman" w:hAnsi="Times New Roman"/>
        </w:rPr>
      </w:pPr>
    </w:p>
    <w:p w:rsidR="00B30D43" w:rsidRDefault="00B30D43" w:rsidP="00B30D43">
      <w:pPr>
        <w:tabs>
          <w:tab w:val="left" w:pos="2865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3. </w:t>
      </w:r>
      <w:r>
        <w:rPr>
          <w:rFonts w:ascii="Times New Roman" w:hAnsi="Times New Roman"/>
        </w:rPr>
        <w:t>Хобби-реакции – это также неотъемлемая часть рассматриваемого возраста. Хобби у взрослых могут и отсутствовать, но у детей они есть обязательно.</w:t>
      </w:r>
    </w:p>
    <w:p w:rsidR="00B30D43" w:rsidRDefault="00B30D43" w:rsidP="00B30D43">
      <w:pPr>
        <w:tabs>
          <w:tab w:val="left" w:pos="2865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Типы увлечений:</w:t>
      </w:r>
    </w:p>
    <w:p w:rsidR="00B30D43" w:rsidRDefault="00B30D43" w:rsidP="00B30D43">
      <w:pPr>
        <w:tabs>
          <w:tab w:val="left" w:pos="2865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интеллектуально-эстетические (музыка, рисование, радиотехника, история, цветоводство, изобретательство). Поглощённые любимым делом могут запустить учёбу и т. д.</w:t>
      </w:r>
    </w:p>
    <w:p w:rsidR="00B30D43" w:rsidRDefault="00B30D43" w:rsidP="00B30D43">
      <w:pPr>
        <w:tabs>
          <w:tab w:val="left" w:pos="2865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телесно-мануальные (стремление укрепить свою силу, выносливость и т. д.). Это занятие различными видами спорта, а также желание научиться мастерить, вышивать, вязать, ездить на велосипеде. Этот тип хобби часто встречается у ребят, неуверенных в себе, нерешительных, робких, страдающих комплексом неполноценности. С помощью своих занятий они стараются самоутвердиться в глазах окружающих и своих собственных. Это своего рода реакция компенсации.</w:t>
      </w:r>
    </w:p>
    <w:p w:rsidR="00B30D43" w:rsidRDefault="00B30D43" w:rsidP="00B30D43">
      <w:pPr>
        <w:tabs>
          <w:tab w:val="left" w:pos="2865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Есть ещё лидерские увлечения (создание и поиск ситуаций, где можно руководить); накопительские увлечения (коллекционирование во всех его видах); эгоцентрические увлечения – это всякого рода занятия, полезная сторона которых может оказаться в центре внимания окружающих; азартные увлечения; информативно-коммуникативные увлечения («</w:t>
      </w:r>
      <w:proofErr w:type="spellStart"/>
      <w:r>
        <w:rPr>
          <w:rFonts w:ascii="Times New Roman" w:hAnsi="Times New Roman"/>
        </w:rPr>
        <w:t>глазение</w:t>
      </w:r>
      <w:proofErr w:type="spellEnd"/>
      <w:r>
        <w:rPr>
          <w:rFonts w:ascii="Times New Roman" w:hAnsi="Times New Roman"/>
        </w:rPr>
        <w:t>» на всё вокруг, пустая болтовня и т. п.). Если у ребёнка, по его мнению, нет хобби, можно с уверенностью сказать, что его увлечения информационно-коммуникативного типа.</w:t>
      </w:r>
    </w:p>
    <w:p w:rsidR="00B30D43" w:rsidRDefault="00B30D43" w:rsidP="00B30D43">
      <w:pPr>
        <w:tabs>
          <w:tab w:val="left" w:pos="2865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Одно и то же хобби может основываться на разных побуждениях и лежать в основе нарушений поведения. Это происходит или в силу чрезмерной интенсивности хобби, когда ради него забрасываются все остальные дела и даже ставится в опасность собственное благополучие, или в силу необычности, странности и даже </w:t>
      </w:r>
      <w:proofErr w:type="spellStart"/>
      <w:r>
        <w:rPr>
          <w:rFonts w:ascii="Times New Roman" w:hAnsi="Times New Roman"/>
        </w:rPr>
        <w:t>ассоциальности</w:t>
      </w:r>
      <w:proofErr w:type="spellEnd"/>
      <w:r>
        <w:rPr>
          <w:rFonts w:ascii="Times New Roman" w:hAnsi="Times New Roman"/>
        </w:rPr>
        <w:t xml:space="preserve"> содержания самих увлечений.</w:t>
      </w:r>
    </w:p>
    <w:p w:rsidR="00B30D43" w:rsidRDefault="00B30D43" w:rsidP="00B30D43">
      <w:pPr>
        <w:tabs>
          <w:tab w:val="left" w:pos="2865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Встречаются также детские поведенческие реакции, которые тоже могут стать основой нарушения поведения. Это реакции отказа (от контактов, игр, пищи), чаще возникающих у инфантильных подростков при ослаблении или утрате внимания знакомых для него лиц; реакции оппозиции (протест против чрезмерных претензий), часто проявляющихся в виде прогулов, побегов из дома, кражах и демонстративных несерьёзных попыток самоубийства.</w:t>
      </w:r>
    </w:p>
    <w:p w:rsidR="00B30D43" w:rsidRDefault="00B30D43" w:rsidP="00B30D43">
      <w:pPr>
        <w:tabs>
          <w:tab w:val="left" w:pos="2865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Очень часто эти реакции – не только требование внимания, но и каких-либо преимуществ, выполнения каких-либо желаний, определённых благ, которые позволили бы возвыситься в глазах сверстников. Это шантаж, как родителей, так и учителей.</w:t>
      </w:r>
    </w:p>
    <w:p w:rsidR="00B30D43" w:rsidRDefault="00B30D43" w:rsidP="00B30D43">
      <w:pPr>
        <w:tabs>
          <w:tab w:val="left" w:pos="2865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Возникающие отклонения в сексуальном поведении могут быть связаны у инфантильных ребят с реакцией </w:t>
      </w:r>
      <w:proofErr w:type="spellStart"/>
      <w:r>
        <w:rPr>
          <w:rFonts w:ascii="Times New Roman" w:hAnsi="Times New Roman"/>
        </w:rPr>
        <w:t>гиперкомпенсации</w:t>
      </w:r>
      <w:proofErr w:type="spellEnd"/>
      <w:r>
        <w:rPr>
          <w:rFonts w:ascii="Times New Roman" w:hAnsi="Times New Roman"/>
        </w:rPr>
        <w:t xml:space="preserve"> (стремление «не отставать» и даже «обогнать» сверстников в сексуальных отношениях). В других случаях они оказываются предметом совращения более развитых подростков.</w:t>
      </w:r>
    </w:p>
    <w:p w:rsidR="00B30D43" w:rsidRDefault="00B30D43" w:rsidP="00B30D43">
      <w:pPr>
        <w:tabs>
          <w:tab w:val="left" w:pos="2865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Подростки с отклонениями в поведении причиняют педагогам много неприятностей. Они требуют повышенного внимания, терпения, такта. Но, прежде чем предпринимать что-либо, необходимо разобраться в истинных причинах нарушения поведения подростка.</w:t>
      </w:r>
    </w:p>
    <w:p w:rsidR="00B30D43" w:rsidRDefault="00B30D43" w:rsidP="00B30D43">
      <w:pPr>
        <w:jc w:val="both"/>
      </w:pPr>
    </w:p>
    <w:p w:rsidR="008A65E8" w:rsidRDefault="00B30D43"/>
    <w:sectPr w:rsidR="008A65E8" w:rsidSect="00B30D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/>
  <w:rsids>
    <w:rsidRoot w:val="00B30D43"/>
    <w:rsid w:val="002843CB"/>
    <w:rsid w:val="00397528"/>
    <w:rsid w:val="00860B03"/>
    <w:rsid w:val="00B3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43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1035</Words>
  <Characters>5901</Characters>
  <Application>Microsoft Office Word</Application>
  <DocSecurity>0</DocSecurity>
  <Lines>49</Lines>
  <Paragraphs>13</Paragraphs>
  <ScaleCrop>false</ScaleCrop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2016-04-09T03:47:00Z</dcterms:created>
  <dcterms:modified xsi:type="dcterms:W3CDTF">2016-04-09T03:51:00Z</dcterms:modified>
</cp:coreProperties>
</file>