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7C34" w:rsidRPr="00E67AC7" w:rsidRDefault="006E45DC" w:rsidP="000F0FDA">
      <w:pPr>
        <w:pStyle w:val="normal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AC7">
        <w:rPr>
          <w:rFonts w:ascii="Times New Roman" w:eastAsia="Times New Roman" w:hAnsi="Times New Roman" w:cs="Times New Roman"/>
          <w:b/>
          <w:sz w:val="28"/>
          <w:szCs w:val="28"/>
        </w:rPr>
        <w:t>Формирование профессиональной компетентности педагога с учетом требований нового профессионального стандарта</w:t>
      </w:r>
    </w:p>
    <w:p w:rsidR="006E45DC" w:rsidRPr="00E67AC7" w:rsidRDefault="006E45DC" w:rsidP="000F0FDA">
      <w:pPr>
        <w:pStyle w:val="normal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5DC" w:rsidRPr="006E45DC" w:rsidRDefault="000F0FDA" w:rsidP="000F0FDA">
      <w:pPr>
        <w:pStyle w:val="normal"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E45DC" w:rsidRPr="006E4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5DC" w:rsidRPr="006E45DC">
        <w:rPr>
          <w:rFonts w:ascii="Times New Roman" w:eastAsia="Times New Roman" w:hAnsi="Times New Roman" w:cs="Times New Roman"/>
          <w:sz w:val="24"/>
          <w:szCs w:val="24"/>
        </w:rPr>
        <w:t>Ровнова</w:t>
      </w:r>
      <w:proofErr w:type="spellEnd"/>
      <w:r w:rsidR="006E45DC" w:rsidRPr="006E45DC">
        <w:rPr>
          <w:rFonts w:ascii="Times New Roman" w:eastAsia="Times New Roman" w:hAnsi="Times New Roman" w:cs="Times New Roman"/>
          <w:sz w:val="24"/>
          <w:szCs w:val="24"/>
        </w:rPr>
        <w:t xml:space="preserve"> Л.В.,</w:t>
      </w:r>
    </w:p>
    <w:p w:rsidR="006E45DC" w:rsidRPr="006E45DC" w:rsidRDefault="000F0FDA" w:rsidP="000F0FDA">
      <w:pPr>
        <w:pStyle w:val="normal"/>
        <w:spacing w:after="0" w:line="36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E45D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45DC" w:rsidRPr="006E45DC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6E45DC" w:rsidRPr="006E45DC" w:rsidRDefault="006E45DC" w:rsidP="00D55775">
      <w:pPr>
        <w:pStyle w:val="normal"/>
        <w:spacing w:after="0" w:line="36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6E45DC">
        <w:rPr>
          <w:rFonts w:ascii="Times New Roman" w:eastAsia="Times New Roman" w:hAnsi="Times New Roman" w:cs="Times New Roman"/>
          <w:sz w:val="24"/>
          <w:szCs w:val="24"/>
        </w:rPr>
        <w:t xml:space="preserve"> МБОУ ИМЦ г. Амурска  </w:t>
      </w:r>
    </w:p>
    <w:p w:rsidR="00E67AC7" w:rsidRDefault="00E67AC7" w:rsidP="000F0FDA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61C" w:rsidRPr="003F4F9A" w:rsidRDefault="008C3AE1" w:rsidP="000F0FDA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>Одним из показателей качества образовательного процесса  является уровень профессион</w:t>
      </w:r>
      <w:r w:rsidR="00DE561C" w:rsidRPr="003F4F9A">
        <w:rPr>
          <w:rFonts w:ascii="Times New Roman" w:eastAsia="Times New Roman" w:hAnsi="Times New Roman" w:cs="Times New Roman"/>
          <w:sz w:val="28"/>
          <w:szCs w:val="28"/>
        </w:rPr>
        <w:t>альной компетентности педагогов.</w:t>
      </w:r>
    </w:p>
    <w:p w:rsidR="00DE561C" w:rsidRPr="003F4F9A" w:rsidRDefault="008C3AE1" w:rsidP="000F0FDA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F4F9A">
        <w:rPr>
          <w:rFonts w:ascii="Times New Roman" w:eastAsia="Times New Roman" w:hAnsi="Times New Roman" w:cs="Times New Roman"/>
          <w:sz w:val="28"/>
          <w:szCs w:val="28"/>
        </w:rPr>
        <w:t>Из всех компетенций, необходимых педагогу в профессиональной деятельности, можно выделить девять наиболее значимых (</w:t>
      </w:r>
      <w:r w:rsidRPr="003F4F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социально-психологическая, профессионально-коммуникативная, общепедагогическая, предметная, управленческая, рефлексивная, информационно-коммуникативная, </w:t>
      </w:r>
      <w:proofErr w:type="spellStart"/>
      <w:r w:rsidRPr="003F4F9A">
        <w:rPr>
          <w:rFonts w:ascii="Times New Roman" w:eastAsia="Times New Roman" w:hAnsi="Times New Roman" w:cs="Times New Roman"/>
          <w:b/>
          <w:i/>
          <w:sz w:val="28"/>
          <w:szCs w:val="28"/>
        </w:rPr>
        <w:t>креативная</w:t>
      </w:r>
      <w:proofErr w:type="spellEnd"/>
      <w:r w:rsidRPr="003F4F9A">
        <w:rPr>
          <w:rFonts w:ascii="Times New Roman" w:eastAsia="Times New Roman" w:hAnsi="Times New Roman" w:cs="Times New Roman"/>
          <w:b/>
          <w:i/>
          <w:sz w:val="28"/>
          <w:szCs w:val="28"/>
        </w:rPr>
        <w:t>, компетенция в сфере инновационной деятельности</w:t>
      </w:r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End"/>
    </w:p>
    <w:p w:rsidR="00DE7C34" w:rsidRPr="003F4F9A" w:rsidRDefault="008C3AE1" w:rsidP="000F0FDA">
      <w:pPr>
        <w:pStyle w:val="normal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Именно на уровень развития данных компетенций </w:t>
      </w:r>
      <w:r w:rsidR="00DE561C" w:rsidRPr="003F4F9A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 обращать внимание в первую очередь, так как именно они лежат в основе требований к учителю, реализующему новые стандарты. </w:t>
      </w:r>
    </w:p>
    <w:p w:rsidR="00DE561C" w:rsidRPr="003F4F9A" w:rsidRDefault="008C3AE1" w:rsidP="000F0FD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ab/>
        <w:t>Данные компетенции также отражены в новых профессиональных стандартах педагога, разработанных рабочей группой Общественного совета при министерстве образования и науки РФ под руководством известного педагога Евгения Ямбурга</w:t>
      </w:r>
      <w:r w:rsidR="00DE561C" w:rsidRPr="003F4F9A">
        <w:rPr>
          <w:rFonts w:ascii="Times New Roman" w:eastAsia="Times New Roman" w:hAnsi="Times New Roman" w:cs="Times New Roman"/>
          <w:sz w:val="28"/>
          <w:szCs w:val="28"/>
        </w:rPr>
        <w:t>, которые предполагается ввести в 2017 году.</w:t>
      </w:r>
      <w:r w:rsidRPr="003F4F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7C34" w:rsidRPr="003F4F9A" w:rsidRDefault="008C3AE1" w:rsidP="000F0FDA">
      <w:pPr>
        <w:pStyle w:val="normal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>Конечно, сами по себе профессиональные компетенции не появляются. Только с помощью определенных управленческих механизмов можно организовать деятельность педагогов, направленную на развитие собственной профессиональной компетентности.</w:t>
      </w:r>
    </w:p>
    <w:p w:rsidR="00DE7C34" w:rsidRPr="003F4F9A" w:rsidRDefault="008C3AE1" w:rsidP="00743937">
      <w:pPr>
        <w:pStyle w:val="normal"/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Этапы </w:t>
      </w:r>
      <w:r w:rsidR="00DE561C" w:rsidRPr="003F4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F9A">
        <w:rPr>
          <w:rFonts w:ascii="Times New Roman" w:eastAsia="Times New Roman" w:hAnsi="Times New Roman" w:cs="Times New Roman"/>
          <w:sz w:val="28"/>
          <w:szCs w:val="28"/>
        </w:rPr>
        <w:t>управленческого  механизма по организации деятельности педагога</w:t>
      </w:r>
      <w:r w:rsidR="00DE561C" w:rsidRPr="003F4F9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со стороны методической службы заключаются </w:t>
      </w:r>
      <w:proofErr w:type="gramStart"/>
      <w:r w:rsidR="00DE561C" w:rsidRPr="003F4F9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E561C" w:rsidRPr="003F4F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7C34" w:rsidRPr="003F4F9A" w:rsidRDefault="008C3AE1" w:rsidP="000F0FDA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>1 этап. Выявление уровня профессиональной компетентности педагога.</w:t>
      </w:r>
    </w:p>
    <w:p w:rsidR="00DE7C34" w:rsidRPr="003F4F9A" w:rsidRDefault="008C3AE1" w:rsidP="000F0FDA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lastRenderedPageBreak/>
        <w:t>2 этап. Пути развития профессиональной компетентности педагога через различные формы методического сопровождения педагогов.</w:t>
      </w:r>
    </w:p>
    <w:p w:rsidR="00DE7C34" w:rsidRPr="003F4F9A" w:rsidRDefault="008C3AE1" w:rsidP="000F0FDA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>3 этап. Анализ деятельности педагога.</w:t>
      </w:r>
    </w:p>
    <w:p w:rsidR="00743937" w:rsidRPr="00FC69FC" w:rsidRDefault="008C3AE1" w:rsidP="00FC69FC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F4F9A">
        <w:rPr>
          <w:rFonts w:ascii="Times New Roman" w:eastAsia="Times New Roman" w:hAnsi="Times New Roman" w:cs="Times New Roman"/>
          <w:sz w:val="28"/>
          <w:szCs w:val="28"/>
        </w:rPr>
        <w:t>Осуществляя деятельность на 1 этапе, мы провели диагностику уровня развития наиболее значимых профессиональных компетенций, обозначенных выше, у педагогов  образовательных учреждений – участников наших образовательных мероприяти</w:t>
      </w:r>
      <w:r w:rsidR="000663C6" w:rsidRPr="003F4F9A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DE7C34" w:rsidRPr="003F4F9A" w:rsidRDefault="008C3AE1" w:rsidP="00743937">
      <w:pPr>
        <w:pStyle w:val="normal"/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Результаты диагностики уровня профессиональной компетентности педагогов показали, что </w:t>
      </w:r>
      <w:r w:rsidRPr="003F4F9A">
        <w:rPr>
          <w:rFonts w:ascii="Times New Roman" w:eastAsia="Times New Roman" w:hAnsi="Times New Roman" w:cs="Times New Roman"/>
          <w:i/>
          <w:sz w:val="28"/>
          <w:szCs w:val="28"/>
        </w:rPr>
        <w:t>у большинства педагогов на оптимальном и достаточном уровне находятся</w:t>
      </w:r>
      <w:r w:rsidRPr="003F4F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F4F9A">
        <w:rPr>
          <w:rFonts w:ascii="Times New Roman" w:eastAsia="Times New Roman" w:hAnsi="Times New Roman" w:cs="Times New Roman"/>
          <w:i/>
          <w:sz w:val="28"/>
          <w:szCs w:val="28"/>
        </w:rPr>
        <w:t>знания содержания предмета, теории познавательной деятельности, они хорошо ориентируется в нормативных документах, владеют способами воздействия при общении.</w:t>
      </w:r>
      <w:r w:rsidR="000663C6" w:rsidRPr="003F4F9A">
        <w:rPr>
          <w:rFonts w:ascii="Times New Roman" w:eastAsia="Times New Roman" w:hAnsi="Times New Roman" w:cs="Times New Roman"/>
          <w:sz w:val="28"/>
          <w:szCs w:val="28"/>
        </w:rPr>
        <w:br/>
        <w:t>Но, при этом было выявлено, что у большого процента педагогов</w:t>
      </w:r>
      <w:r w:rsidRPr="003F4F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7C34" w:rsidRPr="003F4F9A" w:rsidRDefault="000663C6" w:rsidP="000F0FDA">
      <w:pPr>
        <w:pStyle w:val="normal"/>
        <w:numPr>
          <w:ilvl w:val="0"/>
          <w:numId w:val="2"/>
        </w:numPr>
        <w:spacing w:after="0" w:line="36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i/>
          <w:sz w:val="28"/>
          <w:szCs w:val="28"/>
        </w:rPr>
        <w:t>Низкая</w:t>
      </w:r>
      <w:r w:rsidR="008C3AE1" w:rsidRPr="003F4F9A">
        <w:rPr>
          <w:rFonts w:ascii="Times New Roman" w:eastAsia="Times New Roman" w:hAnsi="Times New Roman" w:cs="Times New Roman"/>
          <w:i/>
          <w:sz w:val="28"/>
          <w:szCs w:val="28"/>
        </w:rPr>
        <w:t xml:space="preserve"> степень готовности к инновациям (компетенция в сфере инновационной деятельности), в том числе к практической реализации требований ФГОС в урочной и внеурочной деятельности</w:t>
      </w:r>
    </w:p>
    <w:p w:rsidR="00DE7C34" w:rsidRPr="003F4F9A" w:rsidRDefault="008C3AE1" w:rsidP="000F0FDA">
      <w:pPr>
        <w:pStyle w:val="normal"/>
        <w:numPr>
          <w:ilvl w:val="0"/>
          <w:numId w:val="2"/>
        </w:numPr>
        <w:spacing w:after="0" w:line="36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i/>
          <w:sz w:val="28"/>
          <w:szCs w:val="28"/>
        </w:rPr>
        <w:t>Низкий уровень самоанализа (управленческая компетенция): владение управленческими технологиями – педагогический анализ ресурсов, умение проектировать цели, планировать, организовывать, корректировать и анализировать результаты.</w:t>
      </w:r>
    </w:p>
    <w:p w:rsidR="00DE7C34" w:rsidRPr="003F4F9A" w:rsidRDefault="008C3AE1" w:rsidP="000F0FDA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ab/>
        <w:t xml:space="preserve">Именно эти вопросы стали объектом внимания при организации методической работы </w:t>
      </w:r>
      <w:r w:rsidR="000663C6" w:rsidRPr="003F4F9A">
        <w:rPr>
          <w:rFonts w:ascii="Times New Roman" w:eastAsia="Times New Roman" w:hAnsi="Times New Roman" w:cs="Times New Roman"/>
          <w:sz w:val="28"/>
          <w:szCs w:val="28"/>
        </w:rPr>
        <w:t>методистами Центра</w:t>
      </w:r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7C34" w:rsidRDefault="008C3AE1" w:rsidP="000F0FD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ab/>
        <w:t>С целью развития профессиональных компетенций педагога мы спланировали свою деятельность через различные формы методического сопровождения:</w:t>
      </w:r>
    </w:p>
    <w:p w:rsidR="00DE7C34" w:rsidRPr="003F4F9A" w:rsidRDefault="008C3AE1" w:rsidP="000F0FDA">
      <w:pPr>
        <w:pStyle w:val="normal"/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i/>
          <w:sz w:val="28"/>
          <w:szCs w:val="28"/>
        </w:rPr>
        <w:t>Использование современных методик, форм, видов, средств обучения взрослых и новых технологий, особое внимание уделено сетевым технологиям</w:t>
      </w:r>
    </w:p>
    <w:p w:rsidR="00DE7C34" w:rsidRPr="003F4F9A" w:rsidRDefault="008C3AE1" w:rsidP="000F0FDA">
      <w:pPr>
        <w:pStyle w:val="normal"/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Организация работы в РМО, творческих группах,  мастер-классах, постоянно – действующих семинарах на </w:t>
      </w:r>
      <w:proofErr w:type="spellStart"/>
      <w:r w:rsidRPr="003F4F9A">
        <w:rPr>
          <w:rFonts w:ascii="Times New Roman" w:eastAsia="Times New Roman" w:hAnsi="Times New Roman" w:cs="Times New Roman"/>
          <w:i/>
          <w:sz w:val="28"/>
          <w:szCs w:val="28"/>
        </w:rPr>
        <w:t>деятельностной</w:t>
      </w:r>
      <w:proofErr w:type="spellEnd"/>
      <w:r w:rsidRPr="003F4F9A">
        <w:rPr>
          <w:rFonts w:ascii="Times New Roman" w:eastAsia="Times New Roman" w:hAnsi="Times New Roman" w:cs="Times New Roman"/>
          <w:i/>
          <w:sz w:val="28"/>
          <w:szCs w:val="28"/>
        </w:rPr>
        <w:t xml:space="preserve"> основе</w:t>
      </w:r>
    </w:p>
    <w:p w:rsidR="00DE7C34" w:rsidRPr="003F4F9A" w:rsidRDefault="008C3AE1" w:rsidP="000F0FDA">
      <w:pPr>
        <w:pStyle w:val="normal"/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Корпоративное обучение</w:t>
      </w:r>
    </w:p>
    <w:p w:rsidR="00DE7C34" w:rsidRPr="003F4F9A" w:rsidRDefault="008C3AE1" w:rsidP="000F0FDA">
      <w:pPr>
        <w:pStyle w:val="normal"/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i/>
          <w:sz w:val="28"/>
          <w:szCs w:val="28"/>
        </w:rPr>
        <w:t>Участие в профессиональных конкурсах</w:t>
      </w:r>
    </w:p>
    <w:p w:rsidR="00DE7C34" w:rsidRPr="003F4F9A" w:rsidRDefault="008C3AE1" w:rsidP="000F0FDA">
      <w:pPr>
        <w:pStyle w:val="normal"/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i/>
          <w:sz w:val="28"/>
          <w:szCs w:val="28"/>
        </w:rPr>
        <w:t>Создание собственных публикаций, методических рекомендаций</w:t>
      </w:r>
    </w:p>
    <w:p w:rsidR="00DE7C34" w:rsidRPr="003F4F9A" w:rsidRDefault="008C3AE1" w:rsidP="000F0FDA">
      <w:pPr>
        <w:pStyle w:val="normal"/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i/>
          <w:sz w:val="28"/>
          <w:szCs w:val="28"/>
        </w:rPr>
        <w:t>Распространение и диссеминация педагогического  опыта</w:t>
      </w:r>
    </w:p>
    <w:p w:rsidR="00DE7C34" w:rsidRPr="003F4F9A" w:rsidRDefault="008C3AE1" w:rsidP="000F0FDA">
      <w:pPr>
        <w:pStyle w:val="normal"/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i/>
          <w:sz w:val="28"/>
          <w:szCs w:val="28"/>
        </w:rPr>
        <w:t>Подготовка к аттестации</w:t>
      </w:r>
    </w:p>
    <w:p w:rsidR="00DE7C34" w:rsidRPr="003F4F9A" w:rsidRDefault="008C3AE1" w:rsidP="000F0FDA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ab/>
        <w:t xml:space="preserve">Наша деятельность, в первую очередь была направлена на повышение профессиональных компетенций педагогов в условиях реализации ФГОС НОО и подготовки педагогов к введению стандартов основного общего образования. </w:t>
      </w:r>
    </w:p>
    <w:p w:rsidR="00DE7C34" w:rsidRPr="003F4F9A" w:rsidRDefault="008C3AE1" w:rsidP="000F0FDA">
      <w:pPr>
        <w:pStyle w:val="normal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Введение новых стандартов влечет за собой изменения в деятельности педагогов, следовательно, и обучение педагогов было организовано по-новому. </w:t>
      </w:r>
    </w:p>
    <w:p w:rsidR="00DE7C34" w:rsidRPr="003F4F9A" w:rsidRDefault="008C3AE1" w:rsidP="000F0FDA">
      <w:pPr>
        <w:pStyle w:val="normal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>Методическое сопров</w:t>
      </w:r>
      <w:r w:rsidR="000663C6" w:rsidRPr="003F4F9A">
        <w:rPr>
          <w:rFonts w:ascii="Times New Roman" w:eastAsia="Times New Roman" w:hAnsi="Times New Roman" w:cs="Times New Roman"/>
          <w:sz w:val="28"/>
          <w:szCs w:val="28"/>
        </w:rPr>
        <w:t>ождение мы осуществляли</w:t>
      </w:r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proofErr w:type="spellStart"/>
      <w:r w:rsidRPr="003F4F9A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 основе, которое является наиболее эффективным.</w:t>
      </w:r>
    </w:p>
    <w:p w:rsidR="00DE7C34" w:rsidRPr="003F4F9A" w:rsidRDefault="008C3AE1" w:rsidP="000F0FDA">
      <w:pPr>
        <w:pStyle w:val="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На уровне муниципалитета были разработаны и </w:t>
      </w:r>
      <w:r w:rsidR="000663C6" w:rsidRPr="003F4F9A">
        <w:rPr>
          <w:rFonts w:ascii="Times New Roman" w:eastAsia="Times New Roman" w:hAnsi="Times New Roman" w:cs="Times New Roman"/>
          <w:sz w:val="28"/>
          <w:szCs w:val="28"/>
        </w:rPr>
        <w:t>реализованы</w:t>
      </w:r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 программы двух постоянно действующих семинаров – практикумов: </w:t>
      </w:r>
    </w:p>
    <w:p w:rsidR="00DE7C34" w:rsidRPr="003F4F9A" w:rsidRDefault="008C3AE1" w:rsidP="000F0FDA">
      <w:pPr>
        <w:pStyle w:val="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>1. Проектирование современного урока  в условиях реализации  ФГОС НОО;</w:t>
      </w:r>
    </w:p>
    <w:p w:rsidR="00DE7C34" w:rsidRPr="003F4F9A" w:rsidRDefault="008C3AE1" w:rsidP="000F0FDA">
      <w:pPr>
        <w:pStyle w:val="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>2. Реализация ФГОС НОО по направлениям:</w:t>
      </w:r>
    </w:p>
    <w:p w:rsidR="00DE7C34" w:rsidRPr="003F4F9A" w:rsidRDefault="003E4942" w:rsidP="000F0FDA">
      <w:pPr>
        <w:pStyle w:val="normal"/>
        <w:numPr>
          <w:ilvl w:val="0"/>
          <w:numId w:val="4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8C3AE1" w:rsidRPr="003F4F9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технологий как средство повышения познавательной активности учащихся, </w:t>
      </w:r>
    </w:p>
    <w:p w:rsidR="00DE7C34" w:rsidRPr="003F4F9A" w:rsidRDefault="008C3AE1" w:rsidP="000F0FDA">
      <w:pPr>
        <w:pStyle w:val="normal"/>
        <w:numPr>
          <w:ilvl w:val="0"/>
          <w:numId w:val="4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3F4F9A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proofErr w:type="gramEnd"/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 учебных действия на уроке и во внеурочной деятельности.</w:t>
      </w:r>
    </w:p>
    <w:p w:rsidR="00DE7C34" w:rsidRPr="003F4F9A" w:rsidRDefault="008C3AE1" w:rsidP="000F0FDA">
      <w:pPr>
        <w:pStyle w:val="normal"/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В течение 2-х лет реализуется программа корпоративного </w:t>
      </w:r>
      <w:proofErr w:type="gramStart"/>
      <w:r w:rsidRPr="003F4F9A">
        <w:rPr>
          <w:rFonts w:ascii="Times New Roman" w:eastAsia="Times New Roman" w:hAnsi="Times New Roman" w:cs="Times New Roman"/>
          <w:sz w:val="28"/>
          <w:szCs w:val="28"/>
        </w:rPr>
        <w:t>обучения по темам</w:t>
      </w:r>
      <w:proofErr w:type="gramEnd"/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F4F9A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 подход в образовании», «Современный урок в свете требований ФГОС», с обязательным проектированием уроков и их анализом, через которое прошли обучение 8 образовательных учреждений и 187 педагогов.</w:t>
      </w:r>
    </w:p>
    <w:p w:rsidR="00DE7C34" w:rsidRPr="003F4F9A" w:rsidRDefault="008C3AE1" w:rsidP="000F0FDA">
      <w:pPr>
        <w:pStyle w:val="normal"/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Pr="003F4F9A">
        <w:rPr>
          <w:rFonts w:ascii="Times New Roman" w:eastAsia="Times New Roman" w:hAnsi="Times New Roman" w:cs="Times New Roman"/>
          <w:b/>
          <w:sz w:val="28"/>
          <w:szCs w:val="28"/>
        </w:rPr>
        <w:t>итоговой</w:t>
      </w:r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 самодиагностики было установлено:</w:t>
      </w:r>
    </w:p>
    <w:tbl>
      <w:tblPr>
        <w:tblStyle w:val="a5"/>
        <w:tblW w:w="9211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5"/>
        <w:gridCol w:w="5614"/>
        <w:gridCol w:w="1417"/>
        <w:gridCol w:w="1525"/>
      </w:tblGrid>
      <w:tr w:rsidR="00DE7C34" w:rsidRPr="003F4F9A">
        <w:tc>
          <w:tcPr>
            <w:tcW w:w="655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614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 xml:space="preserve">Показатель готовности </w:t>
            </w:r>
            <w:proofErr w:type="gramStart"/>
            <w:r w:rsidRPr="000F0FDA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25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>Показатель готовности после</w:t>
            </w:r>
          </w:p>
        </w:tc>
      </w:tr>
      <w:tr w:rsidR="00DE7C34" w:rsidRPr="003F4F9A">
        <w:trPr>
          <w:trHeight w:val="300"/>
        </w:trPr>
        <w:tc>
          <w:tcPr>
            <w:tcW w:w="655" w:type="dxa"/>
          </w:tcPr>
          <w:p w:rsidR="00DE7C34" w:rsidRPr="000F0FDA" w:rsidRDefault="00DE7C34" w:rsidP="000F0FDA">
            <w:pPr>
              <w:pStyle w:val="normal"/>
              <w:numPr>
                <w:ilvl w:val="0"/>
                <w:numId w:val="1"/>
              </w:numPr>
              <w:spacing w:line="360" w:lineRule="auto"/>
              <w:ind w:left="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5614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both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 xml:space="preserve">Компетентность педагога в области постановки цели и задач урока </w:t>
            </w:r>
          </w:p>
        </w:tc>
        <w:tc>
          <w:tcPr>
            <w:tcW w:w="1417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>23%</w:t>
            </w:r>
          </w:p>
        </w:tc>
        <w:tc>
          <w:tcPr>
            <w:tcW w:w="1525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>42% (+19%)</w:t>
            </w:r>
          </w:p>
        </w:tc>
      </w:tr>
      <w:tr w:rsidR="00DE7C34" w:rsidRPr="003F4F9A">
        <w:tc>
          <w:tcPr>
            <w:tcW w:w="655" w:type="dxa"/>
          </w:tcPr>
          <w:p w:rsidR="00DE7C34" w:rsidRPr="000F0FDA" w:rsidRDefault="00DE7C34" w:rsidP="000F0FDA">
            <w:pPr>
              <w:pStyle w:val="normal"/>
              <w:numPr>
                <w:ilvl w:val="0"/>
                <w:numId w:val="1"/>
              </w:numPr>
              <w:spacing w:line="360" w:lineRule="auto"/>
              <w:ind w:left="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5614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both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 xml:space="preserve">Компетентность педагога в области мотивирования </w:t>
            </w:r>
            <w:proofErr w:type="gramStart"/>
            <w:r w:rsidRPr="000F0FDA">
              <w:rPr>
                <w:sz w:val="24"/>
                <w:szCs w:val="24"/>
              </w:rPr>
              <w:t>обучающихся</w:t>
            </w:r>
            <w:proofErr w:type="gramEnd"/>
            <w:r w:rsidRPr="000F0FDA"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>46%</w:t>
            </w:r>
          </w:p>
        </w:tc>
        <w:tc>
          <w:tcPr>
            <w:tcW w:w="1525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>78% (+32%)</w:t>
            </w:r>
          </w:p>
        </w:tc>
      </w:tr>
      <w:tr w:rsidR="00DE7C34" w:rsidRPr="003F4F9A">
        <w:tc>
          <w:tcPr>
            <w:tcW w:w="655" w:type="dxa"/>
          </w:tcPr>
          <w:p w:rsidR="00DE7C34" w:rsidRPr="000F0FDA" w:rsidRDefault="00DE7C34" w:rsidP="000F0FDA">
            <w:pPr>
              <w:pStyle w:val="normal"/>
              <w:numPr>
                <w:ilvl w:val="0"/>
                <w:numId w:val="1"/>
              </w:numPr>
              <w:spacing w:line="360" w:lineRule="auto"/>
              <w:ind w:left="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5614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both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>Компетентность педагога в содержании деятельности (уровень владения учебным материалом по предмету);</w:t>
            </w:r>
          </w:p>
        </w:tc>
        <w:tc>
          <w:tcPr>
            <w:tcW w:w="1417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>74%</w:t>
            </w:r>
          </w:p>
        </w:tc>
        <w:tc>
          <w:tcPr>
            <w:tcW w:w="1525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>78% (+4%)</w:t>
            </w:r>
          </w:p>
        </w:tc>
      </w:tr>
      <w:tr w:rsidR="00DE7C34" w:rsidRPr="003F4F9A">
        <w:tc>
          <w:tcPr>
            <w:tcW w:w="655" w:type="dxa"/>
          </w:tcPr>
          <w:p w:rsidR="00DE7C34" w:rsidRPr="000F0FDA" w:rsidRDefault="00DE7C34" w:rsidP="000F0FDA">
            <w:pPr>
              <w:pStyle w:val="normal"/>
              <w:numPr>
                <w:ilvl w:val="0"/>
                <w:numId w:val="1"/>
              </w:numPr>
              <w:spacing w:line="360" w:lineRule="auto"/>
              <w:ind w:left="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5614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both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>Компетентность педагога в методах преподавания (уровень методической грамотности);</w:t>
            </w:r>
          </w:p>
        </w:tc>
        <w:tc>
          <w:tcPr>
            <w:tcW w:w="1417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>38%</w:t>
            </w:r>
          </w:p>
        </w:tc>
        <w:tc>
          <w:tcPr>
            <w:tcW w:w="1525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>65% (+27%)</w:t>
            </w:r>
          </w:p>
        </w:tc>
      </w:tr>
      <w:tr w:rsidR="00DE7C34" w:rsidRPr="003F4F9A">
        <w:tc>
          <w:tcPr>
            <w:tcW w:w="655" w:type="dxa"/>
          </w:tcPr>
          <w:p w:rsidR="00DE7C34" w:rsidRPr="000F0FDA" w:rsidRDefault="00DE7C34" w:rsidP="000F0FDA">
            <w:pPr>
              <w:pStyle w:val="normal"/>
              <w:numPr>
                <w:ilvl w:val="0"/>
                <w:numId w:val="1"/>
              </w:numPr>
              <w:spacing w:line="360" w:lineRule="auto"/>
              <w:ind w:left="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5614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both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>Компетентность педагога в области профессионально-педагогической позиции и личностных качеств.</w:t>
            </w:r>
          </w:p>
        </w:tc>
        <w:tc>
          <w:tcPr>
            <w:tcW w:w="1417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>69%</w:t>
            </w:r>
          </w:p>
        </w:tc>
        <w:tc>
          <w:tcPr>
            <w:tcW w:w="1525" w:type="dxa"/>
          </w:tcPr>
          <w:p w:rsidR="00DE7C34" w:rsidRPr="000F0FDA" w:rsidRDefault="008C3AE1" w:rsidP="000F0FD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 w:rsidRPr="000F0FDA">
              <w:rPr>
                <w:sz w:val="24"/>
                <w:szCs w:val="24"/>
              </w:rPr>
              <w:t>82% (+13%)</w:t>
            </w:r>
          </w:p>
        </w:tc>
      </w:tr>
    </w:tbl>
    <w:p w:rsidR="000F0FDA" w:rsidRDefault="008C3AE1" w:rsidP="000F0F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h.gjdgxs" w:colFirst="0" w:colLast="0"/>
      <w:bookmarkEnd w:id="0"/>
      <w:r w:rsidRPr="003F4F9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0663C6" w:rsidRPr="003F4F9A" w:rsidRDefault="000663C6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hAnsi="Times New Roman" w:cs="Times New Roman"/>
          <w:sz w:val="28"/>
          <w:szCs w:val="28"/>
        </w:rPr>
        <w:t xml:space="preserve">Профессиональный стандарт педагога призван, прежде всего, раскрепостить педагога, дать новый импульс его развитию. В эпоху быстрой смены технологий речь идет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Для реализации новых целей и содержания образования, педагога необходимо готовить к работе в сетевой образовательной среде. Ключевой характеристикой такого образования становится не передача знаний и технологий, а формирование компетентностей в деятельности, готовность к повышению уровня профессиональной компетентности.  </w:t>
      </w:r>
    </w:p>
    <w:p w:rsidR="000663C6" w:rsidRPr="003F4F9A" w:rsidRDefault="000663C6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hAnsi="Times New Roman" w:cs="Times New Roman"/>
          <w:sz w:val="28"/>
          <w:szCs w:val="28"/>
        </w:rPr>
        <w:t>Следовательно, сетевая активность педагогов и других участников образовательного процесса – одна из актуальных тем, связанных с профессиональным развитием, а значит – это одно из приоритетных направлений деятельности муниципальной методической службы.</w:t>
      </w:r>
    </w:p>
    <w:p w:rsidR="000663C6" w:rsidRPr="003F4F9A" w:rsidRDefault="000663C6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hAnsi="Times New Roman" w:cs="Times New Roman"/>
          <w:sz w:val="28"/>
          <w:szCs w:val="28"/>
        </w:rPr>
        <w:t>В Амурском муниципальном районе созданы определенные условия для создания сетевого взаимодействия:</w:t>
      </w:r>
    </w:p>
    <w:p w:rsidR="000252A3" w:rsidRPr="000252A3" w:rsidRDefault="000663C6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252A3" w:rsidRPr="000252A3">
        <w:rPr>
          <w:rFonts w:ascii="Times New Roman" w:hAnsi="Times New Roman" w:cs="Times New Roman"/>
          <w:sz w:val="28"/>
          <w:szCs w:val="28"/>
        </w:rPr>
        <w:t xml:space="preserve">педагоги района и методисты ИМЦ прошли </w:t>
      </w:r>
      <w:proofErr w:type="gramStart"/>
      <w:r w:rsidR="000252A3" w:rsidRPr="000252A3">
        <w:rPr>
          <w:rFonts w:ascii="Times New Roman" w:hAnsi="Times New Roman" w:cs="Times New Roman"/>
          <w:sz w:val="28"/>
          <w:szCs w:val="28"/>
        </w:rPr>
        <w:t>обучение по работе</w:t>
      </w:r>
      <w:proofErr w:type="gramEnd"/>
      <w:r w:rsidR="000252A3" w:rsidRPr="000252A3">
        <w:rPr>
          <w:rFonts w:ascii="Times New Roman" w:hAnsi="Times New Roman" w:cs="Times New Roman"/>
          <w:sz w:val="28"/>
          <w:szCs w:val="28"/>
        </w:rPr>
        <w:t xml:space="preserve"> с сетевыми технологиями, в районе сформирована и функционирует единая информационно-образовательная среда</w:t>
      </w:r>
      <w:r w:rsidR="000252A3">
        <w:rPr>
          <w:rFonts w:ascii="Times New Roman" w:hAnsi="Times New Roman" w:cs="Times New Roman"/>
          <w:sz w:val="28"/>
          <w:szCs w:val="28"/>
        </w:rPr>
        <w:t>;</w:t>
      </w:r>
      <w:r w:rsidR="000252A3" w:rsidRPr="000252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3C6" w:rsidRPr="003F4F9A" w:rsidRDefault="000663C6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hAnsi="Times New Roman" w:cs="Times New Roman"/>
          <w:sz w:val="28"/>
          <w:szCs w:val="28"/>
        </w:rPr>
        <w:t xml:space="preserve">- в каждом образовательном учреждении района имеется определенная информационно – технологическая инфраструктура: локальные сети, серверы, сайты, </w:t>
      </w:r>
      <w:proofErr w:type="spellStart"/>
      <w:r w:rsidRPr="003F4F9A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3F4F9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663C6" w:rsidRPr="003F4F9A" w:rsidRDefault="000663C6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F9A">
        <w:rPr>
          <w:rFonts w:ascii="Times New Roman" w:hAnsi="Times New Roman" w:cs="Times New Roman"/>
          <w:sz w:val="28"/>
          <w:szCs w:val="28"/>
        </w:rPr>
        <w:t>- педагоги и руководители теоретически готовы к использованию современных информационных технологий (за последние 3 года курсовую подготовку в области ИКТ прошли более 95 %);</w:t>
      </w:r>
      <w:proofErr w:type="gramEnd"/>
    </w:p>
    <w:p w:rsidR="000663C6" w:rsidRDefault="000663C6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hAnsi="Times New Roman" w:cs="Times New Roman"/>
          <w:sz w:val="28"/>
          <w:szCs w:val="28"/>
        </w:rPr>
        <w:t>-  практически каждый педагог и руководитель использует в своей профессиональной деятельности широкий спектр коммуникационных средств, являющихся технологической платформой развития сетевых форм взаимодействия.</w:t>
      </w:r>
    </w:p>
    <w:p w:rsidR="000663C6" w:rsidRPr="003F4F9A" w:rsidRDefault="000663C6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hAnsi="Times New Roman" w:cs="Times New Roman"/>
          <w:sz w:val="28"/>
          <w:szCs w:val="28"/>
        </w:rPr>
        <w:t xml:space="preserve">Использование сетевого подхода в повышении профессиональной компетентности педагогов сегодня весьма актуально, потому как ориентировано на использование </w:t>
      </w:r>
      <w:proofErr w:type="spellStart"/>
      <w:r w:rsidRPr="003F4F9A">
        <w:rPr>
          <w:rFonts w:ascii="Times New Roman" w:hAnsi="Times New Roman" w:cs="Times New Roman"/>
          <w:sz w:val="28"/>
          <w:szCs w:val="28"/>
        </w:rPr>
        <w:t>многоаспектной</w:t>
      </w:r>
      <w:proofErr w:type="spellEnd"/>
      <w:r w:rsidRPr="003F4F9A">
        <w:rPr>
          <w:rFonts w:ascii="Times New Roman" w:hAnsi="Times New Roman" w:cs="Times New Roman"/>
          <w:sz w:val="28"/>
          <w:szCs w:val="28"/>
        </w:rPr>
        <w:t xml:space="preserve"> оценки результативности подготовки педагогических кадров. Это подтверждает и исследование, проведенное в 2011-2012 году по инициативе Международного информационного агентства «РИА Новости» в рамках проекта «Социальный навигатор», охватившее 82 627 респондентов (или примерно 8 процентов общего учительского корпуса страны) из 83 регионов РФ. Сегодня около 60% педагогов пользуются сетью в узкопрофессиональных целях – «для знакомства с новыми научными и методическими разработками по своему предмету». Это позволяет говорить, по мнению авторов данного исследования, о том, что даже для продвинутых учителей Интернет чаще всего является аналогом «высокоскоростной» библиотеки, а не площадкой для оживленных дискуссий и/или самообразования. Тогда как современный педагог должен не просто расширять свои знания, но присваивать их в </w:t>
      </w:r>
      <w:proofErr w:type="spellStart"/>
      <w:r w:rsidRPr="003F4F9A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3F4F9A">
        <w:rPr>
          <w:rFonts w:ascii="Times New Roman" w:hAnsi="Times New Roman" w:cs="Times New Roman"/>
          <w:sz w:val="28"/>
          <w:szCs w:val="28"/>
        </w:rPr>
        <w:t xml:space="preserve"> режиме по средствам сетевого подхода. </w:t>
      </w:r>
    </w:p>
    <w:p w:rsidR="000663C6" w:rsidRPr="003F4F9A" w:rsidRDefault="000663C6" w:rsidP="009B5F21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Поэтому, муниципальной методической службой, большое внимание уделяется сетевым формам работы.  </w:t>
      </w:r>
    </w:p>
    <w:p w:rsidR="000252A3" w:rsidRPr="000F0FDA" w:rsidRDefault="000252A3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 xml:space="preserve">В 2014 году команда методистов МБОУ ИМЦ  разработала модель эффективного сетевого взаимодействия -  Проект </w:t>
      </w:r>
      <w:hyperlink r:id="rId7" w:history="1"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>«Сетевой методист»</w:t>
        </w:r>
      </w:hyperlink>
      <w:r w:rsidRPr="000F0FDA">
        <w:rPr>
          <w:rFonts w:ascii="Times New Roman" w:hAnsi="Times New Roman" w:cs="Times New Roman"/>
          <w:sz w:val="28"/>
          <w:szCs w:val="28"/>
        </w:rPr>
        <w:t xml:space="preserve"> (социальная сеть проекта </w:t>
      </w:r>
      <w:hyperlink r:id="rId8" w:history="1">
        <w:r w:rsidRPr="000F0FD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>+ Сетевой методист</w:t>
        </w:r>
      </w:hyperlink>
      <w:r w:rsidRPr="000F0FDA">
        <w:rPr>
          <w:rFonts w:ascii="Times New Roman" w:hAnsi="Times New Roman" w:cs="Times New Roman"/>
          <w:sz w:val="28"/>
          <w:szCs w:val="28"/>
        </w:rPr>
        <w:t xml:space="preserve">) -   современный информационно-технологический сервис методической службы и представляет собой </w:t>
      </w:r>
      <w:r w:rsidRPr="000F0FD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F0FDA">
        <w:rPr>
          <w:rFonts w:ascii="Times New Roman" w:hAnsi="Times New Roman" w:cs="Times New Roman"/>
          <w:sz w:val="28"/>
          <w:szCs w:val="28"/>
        </w:rPr>
        <w:t>-страницу виртуальных кабинетов методистов.</w:t>
      </w:r>
    </w:p>
    <w:p w:rsidR="000252A3" w:rsidRPr="000F0FDA" w:rsidRDefault="000252A3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 xml:space="preserve">Деятельность виртуальных кабинетов основана на интерактивных формах, поддерживаемых различными сервисами коллективного хранения и редактирования информации.  Так как это среда коллективного гипертекста, то каждый участник может создавать новую собственную страницу, </w:t>
      </w:r>
      <w:proofErr w:type="gramStart"/>
      <w:r w:rsidRPr="000F0FDA">
        <w:rPr>
          <w:rFonts w:ascii="Times New Roman" w:hAnsi="Times New Roman" w:cs="Times New Roman"/>
          <w:sz w:val="28"/>
          <w:szCs w:val="28"/>
        </w:rPr>
        <w:t>изменить</w:t>
      </w:r>
      <w:proofErr w:type="gramEnd"/>
      <w:r w:rsidRPr="000F0FDA">
        <w:rPr>
          <w:rFonts w:ascii="Times New Roman" w:hAnsi="Times New Roman" w:cs="Times New Roman"/>
          <w:sz w:val="28"/>
          <w:szCs w:val="28"/>
        </w:rPr>
        <w:t xml:space="preserve"> или дополнить статью. Интерактивный режим позволяет участникам сетевого взаимодействия обмениваться информацией, высказывать свою точку зрения, получать консультацию по интересующему вопросу не только от методистов, но и от своих коллег учителей.</w:t>
      </w:r>
    </w:p>
    <w:p w:rsidR="000252A3" w:rsidRPr="000F0FDA" w:rsidRDefault="000252A3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>Спроектированная среда дает возможность организовать совместное методическое пространство для методистов, учителей, руководителей РМО, различных творческих групп:</w:t>
      </w:r>
    </w:p>
    <w:p w:rsidR="000252A3" w:rsidRPr="000F0FDA" w:rsidRDefault="000252A3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>- Предоставляет им оптимальный доступ к необходимой информации в любое время суток;</w:t>
      </w:r>
    </w:p>
    <w:p w:rsidR="000252A3" w:rsidRPr="000F0FDA" w:rsidRDefault="000252A3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>- Оказывает оперативную методическую помощь молодым учителям;</w:t>
      </w:r>
    </w:p>
    <w:p w:rsidR="000252A3" w:rsidRPr="000F0FDA" w:rsidRDefault="000252A3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>- Опытным педагогам дает возможность поделиться опытом работы.</w:t>
      </w:r>
    </w:p>
    <w:p w:rsidR="000252A3" w:rsidRPr="000F0FDA" w:rsidRDefault="000252A3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 xml:space="preserve">Уже сейчас на </w:t>
      </w:r>
      <w:r w:rsidRPr="000F0FD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F0FDA">
        <w:rPr>
          <w:rFonts w:ascii="Times New Roman" w:hAnsi="Times New Roman" w:cs="Times New Roman"/>
          <w:sz w:val="28"/>
          <w:szCs w:val="28"/>
        </w:rPr>
        <w:t xml:space="preserve"> – странице Проекта можно увидеть результаты участия педагогов в дистанционных конкурсах, сетевых муниципальных семинарах и мастер-классах –  это образовательный продукт педагогов (разработки уроков, проектов и т.д.): </w:t>
      </w:r>
    </w:p>
    <w:p w:rsidR="000252A3" w:rsidRPr="000F0FDA" w:rsidRDefault="000252A3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>Сетевая педагогическая мастерская  "</w:t>
        </w:r>
        <w:proofErr w:type="spellStart"/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>ВекТОР</w:t>
        </w:r>
        <w:proofErr w:type="spellEnd"/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>"</w:t>
        </w:r>
      </w:hyperlink>
      <w:r w:rsidRPr="000F0FDA">
        <w:rPr>
          <w:rFonts w:ascii="Times New Roman" w:hAnsi="Times New Roman" w:cs="Times New Roman"/>
          <w:sz w:val="28"/>
          <w:szCs w:val="28"/>
        </w:rPr>
        <w:t xml:space="preserve"> (Век Творческих Образовательных Ресурсов), руководитель: Кочкурова Л.В., учитель французского языка школы № 2. </w:t>
      </w:r>
      <w:hyperlink r:id="rId10" w:history="1"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 xml:space="preserve">Проекты </w:t>
        </w:r>
        <w:proofErr w:type="spellStart"/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>пдагогов</w:t>
        </w:r>
        <w:proofErr w:type="spellEnd"/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</w:hyperlink>
    </w:p>
    <w:p w:rsidR="000252A3" w:rsidRPr="000F0FDA" w:rsidRDefault="000252A3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1" w:history="1"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>Дистанционная площадка</w:t>
        </w:r>
      </w:hyperlink>
      <w:r w:rsidRPr="000F0FDA">
        <w:rPr>
          <w:rFonts w:ascii="Times New Roman" w:hAnsi="Times New Roman" w:cs="Times New Roman"/>
          <w:sz w:val="28"/>
          <w:szCs w:val="28"/>
        </w:rPr>
        <w:t xml:space="preserve"> "Проектирование учебного занятия на </w:t>
      </w:r>
      <w:proofErr w:type="spellStart"/>
      <w:r w:rsidRPr="000F0FDA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0F0FDA">
        <w:rPr>
          <w:rFonts w:ascii="Times New Roman" w:hAnsi="Times New Roman" w:cs="Times New Roman"/>
          <w:sz w:val="28"/>
          <w:szCs w:val="28"/>
        </w:rPr>
        <w:t xml:space="preserve"> основе" авторского коллектива начальной школы № 1 пос. </w:t>
      </w:r>
      <w:proofErr w:type="spellStart"/>
      <w:r w:rsidRPr="000F0FDA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</w:p>
    <w:p w:rsidR="000252A3" w:rsidRPr="000F0FDA" w:rsidRDefault="000252A3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>Школа профессионального мастерства</w:t>
        </w:r>
      </w:hyperlink>
      <w:r w:rsidRPr="000F0FDA">
        <w:rPr>
          <w:rFonts w:ascii="Times New Roman" w:hAnsi="Times New Roman" w:cs="Times New Roman"/>
          <w:sz w:val="28"/>
          <w:szCs w:val="28"/>
        </w:rPr>
        <w:t xml:space="preserve"> "Как провести дистанционный урок"  по теме «Визуализация учебного материала» руководители: </w:t>
      </w:r>
      <w:proofErr w:type="spellStart"/>
      <w:r w:rsidRPr="000F0FDA">
        <w:rPr>
          <w:rFonts w:ascii="Times New Roman" w:hAnsi="Times New Roman" w:cs="Times New Roman"/>
          <w:sz w:val="28"/>
          <w:szCs w:val="28"/>
        </w:rPr>
        <w:t>Блохнина</w:t>
      </w:r>
      <w:proofErr w:type="spellEnd"/>
      <w:r w:rsidRPr="000F0FDA">
        <w:rPr>
          <w:rFonts w:ascii="Times New Roman" w:hAnsi="Times New Roman" w:cs="Times New Roman"/>
          <w:sz w:val="28"/>
          <w:szCs w:val="28"/>
        </w:rPr>
        <w:t xml:space="preserve"> И.П., Сергеева Г.В., специалисты информационно – методического центра. </w:t>
      </w:r>
      <w:hyperlink r:id="rId13" w:history="1"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>Проекты педагогов</w:t>
        </w:r>
      </w:hyperlink>
      <w:r w:rsidRPr="000F0FDA">
        <w:rPr>
          <w:rFonts w:ascii="Times New Roman" w:hAnsi="Times New Roman" w:cs="Times New Roman"/>
          <w:sz w:val="28"/>
          <w:szCs w:val="28"/>
        </w:rPr>
        <w:t>;</w:t>
      </w:r>
    </w:p>
    <w:p w:rsidR="000252A3" w:rsidRPr="000F0FDA" w:rsidRDefault="000252A3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>Проектирование современного урока</w:t>
        </w:r>
      </w:hyperlink>
      <w:r w:rsidRPr="000F0FDA">
        <w:rPr>
          <w:rFonts w:ascii="Times New Roman" w:hAnsi="Times New Roman" w:cs="Times New Roman"/>
          <w:sz w:val="28"/>
          <w:szCs w:val="28"/>
        </w:rPr>
        <w:t xml:space="preserve">: Проведение урочной деятельности в нетрадиционной форме; </w:t>
      </w:r>
      <w:hyperlink r:id="rId15" w:history="1"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>Проекты педагогов</w:t>
        </w:r>
      </w:hyperlink>
    </w:p>
    <w:p w:rsidR="000252A3" w:rsidRPr="000F0FDA" w:rsidRDefault="000252A3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>Дистанционный семинар</w:t>
        </w:r>
      </w:hyperlink>
      <w:r w:rsidRPr="000F0FDA">
        <w:rPr>
          <w:rFonts w:ascii="Times New Roman" w:hAnsi="Times New Roman" w:cs="Times New Roman"/>
          <w:sz w:val="28"/>
          <w:szCs w:val="28"/>
        </w:rPr>
        <w:t xml:space="preserve"> "Выявление и психологическое сопровождение детей группы суицидального риска".</w:t>
      </w:r>
    </w:p>
    <w:p w:rsidR="000252A3" w:rsidRPr="000F0FDA" w:rsidRDefault="000252A3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 xml:space="preserve">- сетевой проект </w:t>
      </w:r>
      <w:hyperlink r:id="rId17" w:history="1"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>"Живой учебник"</w:t>
        </w:r>
      </w:hyperlink>
      <w:r w:rsidRPr="000F0FDA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>Проекты педагогов</w:t>
        </w:r>
      </w:hyperlink>
      <w:r w:rsidRPr="000F0FDA">
        <w:rPr>
          <w:rFonts w:ascii="Times New Roman" w:hAnsi="Times New Roman" w:cs="Times New Roman"/>
          <w:sz w:val="28"/>
          <w:szCs w:val="28"/>
        </w:rPr>
        <w:t>;</w:t>
      </w:r>
    </w:p>
    <w:p w:rsidR="000252A3" w:rsidRPr="000F0FDA" w:rsidRDefault="000252A3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0F0FD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Pr="000F0FDA">
          <w:rPr>
            <w:rStyle w:val="ac"/>
            <w:rFonts w:ascii="Times New Roman" w:hAnsi="Times New Roman" w:cs="Times New Roman"/>
            <w:sz w:val="28"/>
            <w:szCs w:val="28"/>
          </w:rPr>
          <w:t xml:space="preserve"> + Сетевые события</w:t>
        </w:r>
      </w:hyperlink>
    </w:p>
    <w:p w:rsidR="000F0FDA" w:rsidRPr="000F0FDA" w:rsidRDefault="000F0FDA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>Используя эти возможности и условия созданной информационно-образовательной среды, педагоги района умеют:</w:t>
      </w:r>
    </w:p>
    <w:p w:rsidR="000F0FDA" w:rsidRPr="000F0FDA" w:rsidRDefault="000F0FDA" w:rsidP="000F0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 xml:space="preserve">- конструировать свое образовательное пространство, используя  сетевые сервисы; </w:t>
      </w:r>
    </w:p>
    <w:p w:rsidR="000F0FDA" w:rsidRPr="000F0FDA" w:rsidRDefault="000F0FDA" w:rsidP="000F0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 xml:space="preserve">- встраивать технологии и средства информационно-образовательной среды  в различные типы уроков по предметам и во внеурочную деятельность; </w:t>
      </w:r>
    </w:p>
    <w:p w:rsidR="000F0FDA" w:rsidRPr="000F0FDA" w:rsidRDefault="000F0FDA" w:rsidP="000F0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 xml:space="preserve">- разрабатывать содержание, планы и материалы для уроков различного типа и внеурочных мероприятий на основе различных технологий и средств информационно-образовательной среды; </w:t>
      </w:r>
    </w:p>
    <w:p w:rsidR="000F0FDA" w:rsidRPr="000F0FDA" w:rsidRDefault="000F0FDA" w:rsidP="000F0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 xml:space="preserve">- формировать образовательную ИКТ – компетентность; </w:t>
      </w:r>
    </w:p>
    <w:p w:rsidR="000F0FDA" w:rsidRPr="000F0FDA" w:rsidRDefault="000F0FDA" w:rsidP="000F0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DA">
        <w:rPr>
          <w:rFonts w:ascii="Times New Roman" w:hAnsi="Times New Roman" w:cs="Times New Roman"/>
          <w:sz w:val="28"/>
          <w:szCs w:val="28"/>
        </w:rPr>
        <w:t>- использование информационные технологии для оценки результатов обучения;</w:t>
      </w:r>
    </w:p>
    <w:p w:rsidR="00DE7C34" w:rsidRPr="003F4F9A" w:rsidRDefault="009B5F21" w:rsidP="009B5F21">
      <w:pPr>
        <w:pStyle w:val="normal"/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52A3" w:rsidRPr="009B5F21">
        <w:rPr>
          <w:rFonts w:ascii="Times New Roman" w:hAnsi="Times New Roman" w:cs="Times New Roman"/>
          <w:sz w:val="28"/>
          <w:szCs w:val="28"/>
        </w:rPr>
        <w:t>есомненно</w:t>
      </w:r>
      <w:r w:rsidR="000F0FDA" w:rsidRPr="009B5F21">
        <w:rPr>
          <w:rFonts w:ascii="Times New Roman" w:hAnsi="Times New Roman" w:cs="Times New Roman"/>
          <w:sz w:val="28"/>
          <w:szCs w:val="28"/>
        </w:rPr>
        <w:t>, вся эта деятельность</w:t>
      </w:r>
      <w:r w:rsidR="000F0FDA" w:rsidRPr="009B5F21">
        <w:rPr>
          <w:sz w:val="28"/>
          <w:szCs w:val="28"/>
        </w:rPr>
        <w:t xml:space="preserve"> </w:t>
      </w:r>
      <w:r w:rsidR="008C3AE1" w:rsidRPr="003F4F9A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 отражается на </w:t>
      </w:r>
      <w:r w:rsidR="008C3AE1" w:rsidRPr="003F4F9A">
        <w:rPr>
          <w:rFonts w:ascii="Times New Roman" w:eastAsia="Times New Roman" w:hAnsi="Times New Roman" w:cs="Times New Roman"/>
          <w:b/>
          <w:sz w:val="28"/>
          <w:szCs w:val="28"/>
        </w:rPr>
        <w:t>аттестации</w:t>
      </w:r>
      <w:r w:rsidR="008C3AE1" w:rsidRPr="003F4F9A">
        <w:rPr>
          <w:rFonts w:ascii="Times New Roman" w:eastAsia="Times New Roman" w:hAnsi="Times New Roman" w:cs="Times New Roman"/>
          <w:sz w:val="28"/>
          <w:szCs w:val="28"/>
        </w:rPr>
        <w:t xml:space="preserve"> педагогов, а так же на освоении ими современных педагогических технологий:</w:t>
      </w:r>
    </w:p>
    <w:p w:rsidR="00DE7C34" w:rsidRPr="003F4F9A" w:rsidRDefault="008C3AE1" w:rsidP="000F0FDA">
      <w:pPr>
        <w:pStyle w:val="normal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>– 38 % педагогов района аттестованы на первую и высшую квалификационные категории;</w:t>
      </w:r>
    </w:p>
    <w:p w:rsidR="00DE7C34" w:rsidRPr="003F4F9A" w:rsidRDefault="008C3AE1" w:rsidP="000F0FDA">
      <w:pPr>
        <w:pStyle w:val="normal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 владеют технологиями обучения:</w:t>
      </w:r>
    </w:p>
    <w:p w:rsidR="00DE7C34" w:rsidRPr="003F4F9A" w:rsidRDefault="008C3AE1" w:rsidP="000F0FDA">
      <w:pPr>
        <w:pStyle w:val="normal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>- 82% информационно – коммуникационными;</w:t>
      </w:r>
    </w:p>
    <w:p w:rsidR="00DE7C34" w:rsidRPr="003F4F9A" w:rsidRDefault="008C3AE1" w:rsidP="000F0FDA">
      <w:pPr>
        <w:pStyle w:val="normal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>- 57% - проектно-исследовательскими;</w:t>
      </w:r>
    </w:p>
    <w:p w:rsidR="00DE7C34" w:rsidRPr="003F4F9A" w:rsidRDefault="008C3AE1" w:rsidP="000F0FDA">
      <w:pPr>
        <w:pStyle w:val="normal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>- 51% - технологией личностно-ориентированного и развивающего обучения;</w:t>
      </w:r>
    </w:p>
    <w:p w:rsidR="00DE7C34" w:rsidRPr="003F4F9A" w:rsidRDefault="008C3AE1" w:rsidP="000F0FDA">
      <w:pPr>
        <w:pStyle w:val="normal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>- 34% игровыми;</w:t>
      </w:r>
    </w:p>
    <w:p w:rsidR="00DE7C34" w:rsidRPr="003F4F9A" w:rsidRDefault="008C3AE1" w:rsidP="000F0FDA">
      <w:pPr>
        <w:pStyle w:val="normal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</w:rPr>
        <w:t>- 27% - технологией проблемного обучения.</w:t>
      </w:r>
    </w:p>
    <w:p w:rsidR="00DE7C34" w:rsidRPr="003F4F9A" w:rsidRDefault="008C3AE1" w:rsidP="000F0FDA">
      <w:pPr>
        <w:pStyle w:val="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Т. о. можно говорить о положительной динамике формирования профессиональных компетенций педагогов через многоуровневое методическое сопровождение на </w:t>
      </w:r>
      <w:proofErr w:type="spellStart"/>
      <w:r w:rsidRPr="003F4F9A">
        <w:rPr>
          <w:rFonts w:ascii="Times New Roman" w:eastAsia="Times New Roman" w:hAnsi="Times New Roman" w:cs="Times New Roman"/>
          <w:sz w:val="28"/>
          <w:szCs w:val="28"/>
          <w:highlight w:val="white"/>
        </w:rPr>
        <w:t>деятельностной</w:t>
      </w:r>
      <w:proofErr w:type="spellEnd"/>
      <w:r w:rsidRPr="003F4F9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основе.</w:t>
      </w:r>
      <w:r w:rsidRPr="003F4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45DC" w:rsidRPr="003F4F9A" w:rsidRDefault="006E45DC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hAnsi="Times New Roman" w:cs="Times New Roman"/>
          <w:sz w:val="28"/>
          <w:szCs w:val="28"/>
        </w:rPr>
        <w:t xml:space="preserve">Преимущества сетевого взаимодействия: Гибкость. Возможность заниматься в удобное время, в удобном месте и темпе. </w:t>
      </w:r>
      <w:proofErr w:type="spellStart"/>
      <w:r w:rsidRPr="003F4F9A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3F4F9A">
        <w:rPr>
          <w:rFonts w:ascii="Times New Roman" w:hAnsi="Times New Roman" w:cs="Times New Roman"/>
          <w:sz w:val="28"/>
          <w:szCs w:val="28"/>
        </w:rPr>
        <w:t xml:space="preserve">. Деятельность ориентирована на индивидуальные потребности педагогов. Реализуется дифференцированный подход. Доступность. Организуется без </w:t>
      </w:r>
    </w:p>
    <w:p w:rsidR="006E45DC" w:rsidRPr="003F4F9A" w:rsidRDefault="006E45DC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hAnsi="Times New Roman" w:cs="Times New Roman"/>
          <w:sz w:val="28"/>
          <w:szCs w:val="28"/>
        </w:rPr>
        <w:t xml:space="preserve">У нас в районе есть замечательные педагоги, которые являются активными участниками сетевых сообществ, модераторами своих </w:t>
      </w:r>
      <w:r w:rsidR="00600E2F" w:rsidRPr="003F4F9A">
        <w:rPr>
          <w:rFonts w:ascii="Times New Roman" w:hAnsi="Times New Roman" w:cs="Times New Roman"/>
          <w:sz w:val="28"/>
          <w:szCs w:val="28"/>
        </w:rPr>
        <w:t xml:space="preserve">сайтов и </w:t>
      </w:r>
      <w:proofErr w:type="spellStart"/>
      <w:r w:rsidR="00600E2F" w:rsidRPr="003F4F9A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="00600E2F" w:rsidRPr="003F4F9A">
        <w:rPr>
          <w:rFonts w:ascii="Times New Roman" w:hAnsi="Times New Roman" w:cs="Times New Roman"/>
          <w:sz w:val="28"/>
          <w:szCs w:val="28"/>
        </w:rPr>
        <w:t xml:space="preserve">, </w:t>
      </w:r>
      <w:r w:rsidRPr="003F4F9A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600E2F" w:rsidRPr="003F4F9A">
        <w:rPr>
          <w:rFonts w:ascii="Times New Roman" w:hAnsi="Times New Roman" w:cs="Times New Roman"/>
          <w:sz w:val="28"/>
          <w:szCs w:val="28"/>
        </w:rPr>
        <w:t>в профессиональных сообществах.</w:t>
      </w:r>
    </w:p>
    <w:p w:rsidR="006E45DC" w:rsidRPr="003F4F9A" w:rsidRDefault="006E45DC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hAnsi="Times New Roman" w:cs="Times New Roman"/>
          <w:sz w:val="28"/>
          <w:szCs w:val="28"/>
        </w:rPr>
        <w:t>Нам нужно всем постараться, чтобы таких педагогов стало больше!</w:t>
      </w:r>
    </w:p>
    <w:p w:rsidR="006E45DC" w:rsidRPr="003F4F9A" w:rsidRDefault="006E45DC" w:rsidP="000F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A">
        <w:rPr>
          <w:rFonts w:ascii="Times New Roman" w:hAnsi="Times New Roman" w:cs="Times New Roman"/>
          <w:sz w:val="28"/>
          <w:szCs w:val="28"/>
        </w:rPr>
        <w:t>Чем активнее каждый педагог будет работать в сети, чем быстрее он станет «сетевым учителем», тем быстрее и качественнее у него будут формироваться профессиональные компетентности. А это самая реальная  точка роста  качества образования.</w:t>
      </w:r>
      <w:bookmarkStart w:id="1" w:name="_GoBack"/>
      <w:bookmarkEnd w:id="1"/>
    </w:p>
    <w:p w:rsidR="00DE7C34" w:rsidRPr="003F4F9A" w:rsidRDefault="00F9620A" w:rsidP="0074393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43">
        <w:rPr>
          <w:rFonts w:ascii="Times New Roman" w:eastAsia="Calibri" w:hAnsi="Times New Roman" w:cs="Times New Roman"/>
          <w:sz w:val="28"/>
          <w:szCs w:val="28"/>
        </w:rPr>
        <w:t xml:space="preserve">В заключение разрешите </w:t>
      </w:r>
      <w:r>
        <w:rPr>
          <w:rFonts w:ascii="Times New Roman" w:eastAsia="Calibri" w:hAnsi="Times New Roman" w:cs="Times New Roman"/>
          <w:sz w:val="28"/>
          <w:szCs w:val="28"/>
        </w:rPr>
        <w:t>вас</w:t>
      </w:r>
      <w:r w:rsidRPr="00FB7043">
        <w:rPr>
          <w:rFonts w:ascii="Times New Roman" w:eastAsia="Calibri" w:hAnsi="Times New Roman" w:cs="Times New Roman"/>
          <w:sz w:val="28"/>
          <w:szCs w:val="28"/>
        </w:rPr>
        <w:t xml:space="preserve"> поздравить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наступающим </w:t>
      </w:r>
      <w:r w:rsidRPr="00FB7043">
        <w:rPr>
          <w:rFonts w:ascii="Times New Roman" w:eastAsia="Calibri" w:hAnsi="Times New Roman" w:cs="Times New Roman"/>
          <w:sz w:val="28"/>
          <w:szCs w:val="28"/>
        </w:rPr>
        <w:t>нов</w:t>
      </w:r>
      <w:r>
        <w:rPr>
          <w:rFonts w:ascii="Times New Roman" w:eastAsia="Calibri" w:hAnsi="Times New Roman" w:cs="Times New Roman"/>
          <w:sz w:val="28"/>
          <w:szCs w:val="28"/>
        </w:rPr>
        <w:t>ым годом!</w:t>
      </w:r>
      <w:r w:rsidRPr="00FB7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829F3">
        <w:rPr>
          <w:rFonts w:ascii="Times New Roman" w:eastAsia="Calibri" w:hAnsi="Times New Roman" w:cs="Times New Roman"/>
          <w:sz w:val="28"/>
          <w:szCs w:val="28"/>
        </w:rPr>
        <w:t xml:space="preserve">ожелать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вам счастья, </w:t>
      </w:r>
      <w:r w:rsidR="00F50B97">
        <w:rPr>
          <w:rFonts w:ascii="Times New Roman" w:eastAsia="Calibri" w:hAnsi="Times New Roman" w:cs="Times New Roman"/>
          <w:sz w:val="28"/>
          <w:szCs w:val="28"/>
        </w:rPr>
        <w:t xml:space="preserve">любви – всех, кто вас окружает,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здоровья, </w:t>
      </w:r>
      <w:r w:rsidRPr="00D829F3">
        <w:rPr>
          <w:rFonts w:ascii="Times New Roman" w:eastAsia="Calibri" w:hAnsi="Times New Roman" w:cs="Times New Roman"/>
          <w:sz w:val="28"/>
          <w:szCs w:val="28"/>
        </w:rPr>
        <w:t>дальнейших успехов в р</w:t>
      </w:r>
      <w:r w:rsidR="00F50B97">
        <w:rPr>
          <w:rFonts w:ascii="Times New Roman" w:eastAsia="Calibri" w:hAnsi="Times New Roman" w:cs="Times New Roman"/>
          <w:sz w:val="28"/>
          <w:szCs w:val="28"/>
        </w:rPr>
        <w:t>еализации самых смелых проектов, направленных на повышение профессиональных компетентностей</w:t>
      </w:r>
      <w:r w:rsidRPr="00D829F3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sectPr w:rsidR="00DE7C34" w:rsidRPr="003F4F9A" w:rsidSect="00DE7C34">
      <w:footerReference w:type="default" r:id="rId20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C3" w:rsidRDefault="00D61EC3" w:rsidP="003F4F9A">
      <w:pPr>
        <w:spacing w:after="0" w:line="240" w:lineRule="auto"/>
      </w:pPr>
      <w:r>
        <w:separator/>
      </w:r>
    </w:p>
  </w:endnote>
  <w:endnote w:type="continuationSeparator" w:id="0">
    <w:p w:rsidR="00D61EC3" w:rsidRDefault="00D61EC3" w:rsidP="003F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9902"/>
    </w:sdtPr>
    <w:sdtContent>
      <w:p w:rsidR="003F4F9A" w:rsidRDefault="002C76A5">
        <w:pPr>
          <w:pStyle w:val="aa"/>
          <w:jc w:val="center"/>
        </w:pPr>
        <w:fldSimple w:instr=" PAGE   \* MERGEFORMAT ">
          <w:r w:rsidR="00D55775">
            <w:rPr>
              <w:noProof/>
            </w:rPr>
            <w:t>1</w:t>
          </w:r>
        </w:fldSimple>
      </w:p>
    </w:sdtContent>
  </w:sdt>
  <w:p w:rsidR="003F4F9A" w:rsidRDefault="003F4F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C3" w:rsidRDefault="00D61EC3" w:rsidP="003F4F9A">
      <w:pPr>
        <w:spacing w:after="0" w:line="240" w:lineRule="auto"/>
      </w:pPr>
      <w:r>
        <w:separator/>
      </w:r>
    </w:p>
  </w:footnote>
  <w:footnote w:type="continuationSeparator" w:id="0">
    <w:p w:rsidR="00D61EC3" w:rsidRDefault="00D61EC3" w:rsidP="003F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9D1"/>
    <w:multiLevelType w:val="multilevel"/>
    <w:tmpl w:val="A0DCA05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0D6E6FC6"/>
    <w:multiLevelType w:val="multilevel"/>
    <w:tmpl w:val="889406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D0B5841"/>
    <w:multiLevelType w:val="multilevel"/>
    <w:tmpl w:val="ECA403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33B34A3"/>
    <w:multiLevelType w:val="multilevel"/>
    <w:tmpl w:val="3698B04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C34"/>
    <w:rsid w:val="0002485F"/>
    <w:rsid w:val="000252A3"/>
    <w:rsid w:val="000663C6"/>
    <w:rsid w:val="000F0FDA"/>
    <w:rsid w:val="001722F6"/>
    <w:rsid w:val="002C76A5"/>
    <w:rsid w:val="003B34CC"/>
    <w:rsid w:val="003E4942"/>
    <w:rsid w:val="003F4F9A"/>
    <w:rsid w:val="00600E2F"/>
    <w:rsid w:val="00605446"/>
    <w:rsid w:val="006D1EF2"/>
    <w:rsid w:val="006E45DC"/>
    <w:rsid w:val="00743937"/>
    <w:rsid w:val="008C3AE1"/>
    <w:rsid w:val="00917A74"/>
    <w:rsid w:val="009B5F21"/>
    <w:rsid w:val="00D55775"/>
    <w:rsid w:val="00D61EC3"/>
    <w:rsid w:val="00DE561C"/>
    <w:rsid w:val="00DE7C34"/>
    <w:rsid w:val="00E67AC7"/>
    <w:rsid w:val="00F50B97"/>
    <w:rsid w:val="00F9620A"/>
    <w:rsid w:val="00FC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46"/>
  </w:style>
  <w:style w:type="paragraph" w:styleId="1">
    <w:name w:val="heading 1"/>
    <w:basedOn w:val="normal"/>
    <w:next w:val="normal"/>
    <w:rsid w:val="00DE7C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E7C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E7C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E7C3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E7C3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DE7C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7C34"/>
  </w:style>
  <w:style w:type="table" w:customStyle="1" w:styleId="TableNormal">
    <w:name w:val="Table Normal"/>
    <w:rsid w:val="00DE7C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E7C3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DE7C3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E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E45DC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No Spacing"/>
    <w:link w:val="a6"/>
    <w:uiPriority w:val="1"/>
    <w:qFormat/>
    <w:rsid w:val="006E45DC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F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4F9A"/>
  </w:style>
  <w:style w:type="paragraph" w:styleId="aa">
    <w:name w:val="footer"/>
    <w:basedOn w:val="a"/>
    <w:link w:val="ab"/>
    <w:uiPriority w:val="99"/>
    <w:unhideWhenUsed/>
    <w:rsid w:val="003F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4F9A"/>
  </w:style>
  <w:style w:type="character" w:styleId="ac">
    <w:name w:val="Hyperlink"/>
    <w:uiPriority w:val="99"/>
    <w:rsid w:val="000252A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C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6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u/0/b/110597428906055454881/110597428906055454881/posts?_ga=1.52924331.2080829794.1445915760" TargetMode="External"/><Relationship Id="rId13" Type="http://schemas.openxmlformats.org/officeDocument/2006/relationships/hyperlink" Target="https://sites.google.com/site/skolaprofmasterstva15/itogi" TargetMode="External"/><Relationship Id="rId18" Type="http://schemas.openxmlformats.org/officeDocument/2006/relationships/hyperlink" Target="https://sites.google.com/site/setevojproektimc/cetveertyj-eta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tes.google.com/site/klubitprodvizenie/home/setevoj-metodist/metodisty/ledik/meropriatia-onlajn/vyavlenieipsihologiceskoesoprovozdeniedetejgruppysuicidalnogoriska" TargetMode="External"/><Relationship Id="rId12" Type="http://schemas.openxmlformats.org/officeDocument/2006/relationships/hyperlink" Target="https://sites.google.com/site/distantimz/skola-professionalnogo-masterstva-kak-provesti-distancionnyj-urok" TargetMode="External"/><Relationship Id="rId17" Type="http://schemas.openxmlformats.org/officeDocument/2006/relationships/hyperlink" Target="https://sites.google.com/site/setevojproektim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klubitprodvizenie/home/setevoj-metodist/metodisty/ledik/meropriatia-onlajn/vyavlenieipsihologiceskoesoprovozdeniedetejgruppysuicidalnogorisk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klubitprodvizenie/-proektirovanie-ucebnogo-zanatia-na-kompetentnostnoj-osno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site/distancionnyjseminar2013/itogi-seminara" TargetMode="External"/><Relationship Id="rId10" Type="http://schemas.openxmlformats.org/officeDocument/2006/relationships/hyperlink" Target="https://sites.google.com/site/vektoramursk/itogovye-raboty" TargetMode="External"/><Relationship Id="rId19" Type="http://schemas.openxmlformats.org/officeDocument/2006/relationships/hyperlink" Target="https://plus.google.com/communities/108106585232813235666/stream/dc7ebd5e-afeb-4b97-a680-68f566daeb0e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vektoramursk/" TargetMode="External"/><Relationship Id="rId14" Type="http://schemas.openxmlformats.org/officeDocument/2006/relationships/hyperlink" Target="https://sites.google.com/site/distancionnyjseminar201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lyda</cp:lastModifiedBy>
  <cp:revision>17</cp:revision>
  <dcterms:created xsi:type="dcterms:W3CDTF">2015-10-28T04:26:00Z</dcterms:created>
  <dcterms:modified xsi:type="dcterms:W3CDTF">2016-01-13T01:02:00Z</dcterms:modified>
</cp:coreProperties>
</file>