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D2" w:rsidRPr="009A6220" w:rsidRDefault="00D279D2" w:rsidP="00D279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b/>
          <w:bCs/>
          <w:sz w:val="28"/>
          <w:szCs w:val="28"/>
        </w:rPr>
      </w:pPr>
      <w:r w:rsidRPr="009A6220">
        <w:rPr>
          <w:b/>
          <w:bCs/>
          <w:sz w:val="28"/>
          <w:szCs w:val="28"/>
        </w:rPr>
        <w:t>Варианты подходов к анализу литературного текста: теория и практика</w:t>
      </w:r>
    </w:p>
    <w:p w:rsidR="00D279D2" w:rsidRPr="009A6220" w:rsidRDefault="00D279D2" w:rsidP="00D279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220">
        <w:rPr>
          <w:rFonts w:ascii="Times New Roman" w:hAnsi="Times New Roman" w:cs="Times New Roman"/>
          <w:i/>
          <w:sz w:val="28"/>
          <w:szCs w:val="28"/>
        </w:rPr>
        <w:t>Основные вопросы к целостному анализу литературного произведения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Источники текста (</w:t>
      </w:r>
      <w:r w:rsidRPr="009A6220">
        <w:rPr>
          <w:rFonts w:ascii="Times New Roman" w:hAnsi="Times New Roman" w:cs="Times New Roman"/>
          <w:i/>
          <w:sz w:val="28"/>
          <w:szCs w:val="28"/>
        </w:rPr>
        <w:t>автографы, прижизненные и академические издания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Тематика (темы и мотивы) (</w:t>
      </w:r>
      <w:r w:rsidRPr="009A6220">
        <w:rPr>
          <w:rFonts w:ascii="Times New Roman" w:hAnsi="Times New Roman" w:cs="Times New Roman"/>
          <w:i/>
          <w:sz w:val="28"/>
          <w:szCs w:val="28"/>
        </w:rPr>
        <w:t>на основе анализа лексики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sz w:val="28"/>
          <w:szCs w:val="28"/>
        </w:rPr>
        <w:t>Образная система (</w:t>
      </w:r>
      <w:r w:rsidRPr="009A6220">
        <w:rPr>
          <w:rFonts w:ascii="Times New Roman" w:hAnsi="Times New Roman" w:cs="Times New Roman"/>
          <w:i/>
          <w:sz w:val="28"/>
          <w:szCs w:val="28"/>
        </w:rPr>
        <w:t>образы людей, природы, города, вещей, интерьеры, обобщенные образы эпохи и т.д</w:t>
      </w:r>
      <w:r w:rsidRPr="009A6220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Изобразительные средства поэтической речи (</w:t>
      </w:r>
      <w:r w:rsidRPr="009A6220">
        <w:rPr>
          <w:rFonts w:ascii="Times New Roman" w:hAnsi="Times New Roman" w:cs="Times New Roman"/>
          <w:i/>
          <w:sz w:val="28"/>
          <w:szCs w:val="28"/>
        </w:rPr>
        <w:t>тропы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Выразительные средства синтаксиса (</w:t>
      </w:r>
      <w:r w:rsidRPr="009A6220">
        <w:rPr>
          <w:rFonts w:ascii="Times New Roman" w:hAnsi="Times New Roman" w:cs="Times New Roman"/>
          <w:i/>
          <w:sz w:val="28"/>
          <w:szCs w:val="28"/>
        </w:rPr>
        <w:t>фигуры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Стилистическая окраска лексики.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(Функции стиховых форм (</w:t>
      </w:r>
      <w:r w:rsidRPr="009A6220">
        <w:rPr>
          <w:rFonts w:ascii="Times New Roman" w:hAnsi="Times New Roman" w:cs="Times New Roman"/>
          <w:i/>
          <w:sz w:val="28"/>
          <w:szCs w:val="28"/>
        </w:rPr>
        <w:t>размера, рифмы, строфической организации, фоники</w:t>
      </w:r>
      <w:r w:rsidRPr="009A6220">
        <w:rPr>
          <w:rFonts w:ascii="Times New Roman" w:hAnsi="Times New Roman" w:cs="Times New Roman"/>
          <w:sz w:val="28"/>
          <w:szCs w:val="28"/>
        </w:rPr>
        <w:t>)).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Пространственная организация материала.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Временная организация материала.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Соотнесение объективного и субъективного начал (</w:t>
      </w:r>
      <w:r w:rsidRPr="009A6220">
        <w:rPr>
          <w:rFonts w:ascii="Times New Roman" w:hAnsi="Times New Roman" w:cs="Times New Roman"/>
          <w:i/>
          <w:sz w:val="28"/>
          <w:szCs w:val="28"/>
        </w:rPr>
        <w:t>способы проявления авторского сознания в тексте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Наличие подтекста и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затекста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Жанровая природа произведения.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Текст и литературные направления и течения.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(Сценическая история пьесы).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Произведение в ряду других произведений данного автора.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Произведение в контексте современной ему литературы.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Место данного произведения в истории литературы (</w:t>
      </w:r>
      <w:r w:rsidRPr="009A6220">
        <w:rPr>
          <w:rFonts w:ascii="Times New Roman" w:hAnsi="Times New Roman" w:cs="Times New Roman"/>
          <w:i/>
          <w:sz w:val="28"/>
          <w:szCs w:val="28"/>
        </w:rPr>
        <w:t>воспринятые им традиции и идущие от него влияния</w:t>
      </w:r>
      <w:r w:rsidRPr="009A6220">
        <w:rPr>
          <w:rFonts w:ascii="Times New Roman" w:hAnsi="Times New Roman" w:cs="Times New Roman"/>
          <w:sz w:val="28"/>
          <w:szCs w:val="28"/>
        </w:rPr>
        <w:t>).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Идейное содержание произведения.</w:t>
      </w:r>
    </w:p>
    <w:p w:rsidR="00D279D2" w:rsidRPr="009A6220" w:rsidRDefault="00D279D2" w:rsidP="00D279D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Проблематика произведения.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Произвести такой полный анализ произведения учитель может позволить себе лишь изредка (в основном на факультативном занятии или в рамках элективного курса). Чаще учитель избирает тактику анализа, отталкиваясь от особенностей текста. В одном случае для восприятия произведения необходимо обратиться к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затексту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(биографической основе произведения). Без этого, например, невозможно понять стихотворение И. Анненского «Стансы ночи» (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, 1994: 195-196). В другом случае необходимо тщательное рассмотрение функционирования мифологической или фольклорной традиции. Так, например, С. Есенин строит свой художественный мир по законам мира с образом мирового дерева во главе угла. Когда-то мы фокусируем свое внимание преимущественно на тематике, проблематике и идейном смысле произведения (например, в случае рассмотрения произведений В. Вересаева). Понять смысл рассказа Л. Андреева «Петька на даче» нам помогут знаковые (символические) образы и </w:t>
      </w:r>
      <w:r w:rsidRPr="009A622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типа композиции произведения (кольцевая композиция наглядно демонстрирует концепцию автора, причем,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только в этом произведении: человеку никогда не вырваться из кольца, в которое поместил его рок: все попытки прорваться обречены). 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Каждый из названных в схеме анализа компонентов может привлечь особое внимание читателя, учителя или исследователя. Назовем несколько направлений, по которым идет современная наука.</w:t>
      </w:r>
    </w:p>
    <w:p w:rsidR="00D279D2" w:rsidRPr="009A6220" w:rsidRDefault="00D279D2" w:rsidP="00D279D2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 xml:space="preserve">Обращение </w:t>
      </w:r>
      <w:proofErr w:type="gramStart"/>
      <w:r w:rsidRPr="009A6220">
        <w:rPr>
          <w:sz w:val="28"/>
          <w:szCs w:val="28"/>
        </w:rPr>
        <w:t>к проблеме автора в художественном произведении невозможно без знакомства с трудами</w:t>
      </w:r>
      <w:proofErr w:type="gramEnd"/>
      <w:r w:rsidRPr="009A6220">
        <w:rPr>
          <w:sz w:val="28"/>
          <w:szCs w:val="28"/>
        </w:rPr>
        <w:t xml:space="preserve"> Б.О. </w:t>
      </w:r>
      <w:proofErr w:type="spellStart"/>
      <w:r w:rsidRPr="009A6220">
        <w:rPr>
          <w:sz w:val="28"/>
          <w:szCs w:val="28"/>
        </w:rPr>
        <w:t>Кормана</w:t>
      </w:r>
      <w:proofErr w:type="spellEnd"/>
      <w:r w:rsidRPr="009A6220">
        <w:rPr>
          <w:sz w:val="28"/>
          <w:szCs w:val="28"/>
        </w:rPr>
        <w:t xml:space="preserve">. В своих работах он, рассматривая способы выражения авторского сознания, обращался и к эпосу, и к лирике, и к драме. </w:t>
      </w:r>
      <w:proofErr w:type="gramStart"/>
      <w:r w:rsidRPr="009A6220">
        <w:rPr>
          <w:sz w:val="28"/>
          <w:szCs w:val="28"/>
        </w:rPr>
        <w:t>Ученый считал необходимым при анализе лирических произведений различение следующих понятий: «лирический герой», «поэтический мир», «эмоциональный тон», «многоэлементная лирическая система», «герой ролевой лирики» и др.</w:t>
      </w:r>
      <w:proofErr w:type="gramEnd"/>
    </w:p>
    <w:p w:rsidR="00D279D2" w:rsidRPr="009A6220" w:rsidRDefault="00D279D2" w:rsidP="00D279D2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 xml:space="preserve">Имя М.М. Бахтина </w:t>
      </w:r>
      <w:proofErr w:type="gramStart"/>
      <w:r w:rsidRPr="009A6220">
        <w:rPr>
          <w:sz w:val="28"/>
          <w:szCs w:val="28"/>
        </w:rPr>
        <w:t>связано</w:t>
      </w:r>
      <w:proofErr w:type="gramEnd"/>
      <w:r w:rsidRPr="009A6220">
        <w:rPr>
          <w:sz w:val="28"/>
          <w:szCs w:val="28"/>
        </w:rPr>
        <w:t xml:space="preserve"> прежде всего с понятием «полифония», концепцией «народно-смеховой карнавальной культуры», концепцией «</w:t>
      </w:r>
      <w:proofErr w:type="spellStart"/>
      <w:r w:rsidRPr="009A6220">
        <w:rPr>
          <w:sz w:val="28"/>
          <w:szCs w:val="28"/>
        </w:rPr>
        <w:t>двуголосого</w:t>
      </w:r>
      <w:proofErr w:type="spellEnd"/>
      <w:r w:rsidRPr="009A6220">
        <w:rPr>
          <w:sz w:val="28"/>
          <w:szCs w:val="28"/>
        </w:rPr>
        <w:t>» слова, теорией «</w:t>
      </w:r>
      <w:proofErr w:type="spellStart"/>
      <w:r w:rsidRPr="009A6220">
        <w:rPr>
          <w:sz w:val="28"/>
          <w:szCs w:val="28"/>
        </w:rPr>
        <w:t>хронотопа</w:t>
      </w:r>
      <w:proofErr w:type="spellEnd"/>
      <w:r w:rsidRPr="009A6220">
        <w:rPr>
          <w:sz w:val="28"/>
          <w:szCs w:val="28"/>
        </w:rPr>
        <w:t xml:space="preserve">».  </w:t>
      </w:r>
    </w:p>
    <w:p w:rsidR="00D279D2" w:rsidRPr="009A6220" w:rsidRDefault="00D279D2" w:rsidP="00D279D2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 xml:space="preserve">Продолжает быть актуальным структурно-семиотический метод изучения литературы и культуры, </w:t>
      </w:r>
      <w:proofErr w:type="gramStart"/>
      <w:r w:rsidRPr="009A6220">
        <w:rPr>
          <w:sz w:val="28"/>
          <w:szCs w:val="28"/>
        </w:rPr>
        <w:t>основоположником</w:t>
      </w:r>
      <w:proofErr w:type="gramEnd"/>
      <w:r w:rsidRPr="009A6220">
        <w:rPr>
          <w:sz w:val="28"/>
          <w:szCs w:val="28"/>
        </w:rPr>
        <w:t xml:space="preserve"> которого в СССР был Ю.М. Лотман. Его книга «Анализ поэтического текста» может быть очень полезна учителю. Тем более что ученый не только излагает теорию, но и предлагает образцы анализа стихотворений А.С. Пушкина, М.Ю. Лермонтова, Ф.И. Тютчева, М. Цветаевой и др. М.Л. </w:t>
      </w:r>
      <w:proofErr w:type="spellStart"/>
      <w:r w:rsidRPr="009A6220">
        <w:rPr>
          <w:sz w:val="28"/>
          <w:szCs w:val="28"/>
        </w:rPr>
        <w:t>Гаспаров</w:t>
      </w:r>
      <w:proofErr w:type="spellEnd"/>
      <w:r w:rsidRPr="009A6220">
        <w:rPr>
          <w:sz w:val="28"/>
          <w:szCs w:val="28"/>
        </w:rPr>
        <w:t xml:space="preserve">, определяя значимость этой книги Ю.М. Лотмана, выделяет четыре признака </w:t>
      </w:r>
      <w:proofErr w:type="spellStart"/>
      <w:r w:rsidRPr="009A6220">
        <w:rPr>
          <w:sz w:val="28"/>
          <w:szCs w:val="28"/>
        </w:rPr>
        <w:t>лотмановского</w:t>
      </w:r>
      <w:proofErr w:type="spellEnd"/>
      <w:r w:rsidRPr="009A6220">
        <w:rPr>
          <w:sz w:val="28"/>
          <w:szCs w:val="28"/>
        </w:rPr>
        <w:t xml:space="preserve"> анализа поэтического текста.</w:t>
      </w:r>
    </w:p>
    <w:p w:rsidR="00D279D2" w:rsidRPr="009A6220" w:rsidRDefault="00D279D2" w:rsidP="00D279D2">
      <w:pPr>
        <w:pStyle w:val="a3"/>
        <w:numPr>
          <w:ilvl w:val="0"/>
          <w:numId w:val="4"/>
        </w:numPr>
        <w:tabs>
          <w:tab w:val="clear" w:pos="187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>«Понятие структуры, в которую складываются все элементы стихотворения, от идейных деклараций до дифференциальных признаков фонем, стало у него основным. Структурность - первый признак его анализов, отличающий их от попыток предшествующего времени».</w:t>
      </w:r>
    </w:p>
    <w:p w:rsidR="00D279D2" w:rsidRPr="009A6220" w:rsidRDefault="00D279D2" w:rsidP="00D279D2">
      <w:pPr>
        <w:pStyle w:val="a3"/>
        <w:numPr>
          <w:ilvl w:val="0"/>
          <w:numId w:val="4"/>
        </w:numPr>
        <w:tabs>
          <w:tab w:val="clear" w:pos="1875"/>
          <w:tab w:val="num" w:pos="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>«Понятие структуры у него динамично, в этой динамике и порождается эстетическая действенность стихотворения. Динамичность — второй признак его анализа, отличающий его от других структуралистских опытов».</w:t>
      </w:r>
    </w:p>
    <w:p w:rsidR="00D279D2" w:rsidRPr="009A6220" w:rsidRDefault="00D279D2" w:rsidP="00D279D2">
      <w:pPr>
        <w:pStyle w:val="a3"/>
        <w:numPr>
          <w:ilvl w:val="0"/>
          <w:numId w:val="4"/>
        </w:numPr>
        <w:tabs>
          <w:tab w:val="clear" w:pos="1875"/>
          <w:tab w:val="num" w:pos="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 xml:space="preserve">«Третий (но не последний) признак </w:t>
      </w:r>
      <w:proofErr w:type="spellStart"/>
      <w:r w:rsidRPr="009A6220">
        <w:rPr>
          <w:sz w:val="28"/>
          <w:szCs w:val="28"/>
        </w:rPr>
        <w:t>лотмановского</w:t>
      </w:r>
      <w:proofErr w:type="spellEnd"/>
      <w:r w:rsidRPr="009A6220">
        <w:rPr>
          <w:sz w:val="28"/>
          <w:szCs w:val="28"/>
        </w:rPr>
        <w:t xml:space="preserve"> анализа поэтического текста - историзм, соотнесение каждого явления, наблюдаемого в стихотворении, с его историческим фоном». </w:t>
      </w:r>
    </w:p>
    <w:p w:rsidR="00D279D2" w:rsidRPr="009A6220" w:rsidRDefault="00D279D2" w:rsidP="00D279D2">
      <w:pPr>
        <w:pStyle w:val="a3"/>
        <w:spacing w:after="0" w:afterAutospacing="0"/>
        <w:ind w:firstLine="720"/>
        <w:jc w:val="both"/>
        <w:rPr>
          <w:sz w:val="28"/>
          <w:szCs w:val="28"/>
        </w:rPr>
      </w:pPr>
      <w:r w:rsidRPr="009A6220">
        <w:rPr>
          <w:sz w:val="28"/>
          <w:szCs w:val="28"/>
        </w:rPr>
        <w:t xml:space="preserve">4. «Он писал: «Восприятие художественного текста - всегда борьба между слушателем и автором». В этой борьбе Юрий Михайлович однозначно становился на сторону автора: историческая истина была ему дороже, чем творческое самоутверждение. Это - позиция науки в противоположность </w:t>
      </w:r>
      <w:r w:rsidRPr="009A6220">
        <w:rPr>
          <w:sz w:val="28"/>
          <w:szCs w:val="28"/>
        </w:rPr>
        <w:lastRenderedPageBreak/>
        <w:t xml:space="preserve">позиции искусства. Поэтому четвертый и главный признак </w:t>
      </w:r>
      <w:proofErr w:type="spellStart"/>
      <w:r w:rsidRPr="009A6220">
        <w:rPr>
          <w:sz w:val="28"/>
          <w:szCs w:val="28"/>
        </w:rPr>
        <w:t>лотмановского</w:t>
      </w:r>
      <w:proofErr w:type="spellEnd"/>
      <w:r w:rsidRPr="009A6220">
        <w:rPr>
          <w:sz w:val="28"/>
          <w:szCs w:val="28"/>
        </w:rPr>
        <w:t xml:space="preserve"> анализа поэтического текста - это его научность» (</w:t>
      </w:r>
      <w:proofErr w:type="spellStart"/>
      <w:r w:rsidRPr="009A6220">
        <w:rPr>
          <w:sz w:val="28"/>
          <w:szCs w:val="28"/>
        </w:rPr>
        <w:t>Гаспаров</w:t>
      </w:r>
      <w:proofErr w:type="spellEnd"/>
      <w:r w:rsidRPr="009A6220">
        <w:rPr>
          <w:sz w:val="28"/>
          <w:szCs w:val="28"/>
        </w:rPr>
        <w:t xml:space="preserve">, 1995). 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Польский исследователь Ежи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Фарино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своими трудами (в частности, книгой «Введение в литературоведение») внес важный вклад в структурно-семиотическую теорию. Например, для рассмотрения литературного персонажа он предлагает такую схему: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Состав персонажей;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Имена;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Формы обращения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Портрет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Костюм и нагота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Тело. Анатомия. Метаморфозы;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Дефекты. Недуги;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Поведение. Жесты. Этикет;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Второстепенные сведения;</w:t>
      </w:r>
    </w:p>
    <w:p w:rsidR="00D279D2" w:rsidRPr="009A6220" w:rsidRDefault="00D279D2" w:rsidP="00D279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Некультурность (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Фарино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, 2004: 111-276).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Этот же исследователь, анализируя предметный мир, организующий характер текста, пользуется схемой: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Природа;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Свет. Темнота;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Звук. Тишина;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Цвет;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Запах;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Форма. Фактура;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Движение;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Пространство и время мира;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Искусство в искусстве;</w:t>
      </w:r>
    </w:p>
    <w:p w:rsidR="00D279D2" w:rsidRPr="009A6220" w:rsidRDefault="00D279D2" w:rsidP="00D27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Пространство и время текста. Организующие инстанции (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Фарино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, 2004: 282-430).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Еще одно направление. Вот уже почти 20 лет (юбилей ожидается в этом году) проф. Ю.Б.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Орлицкий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организует научные конференции под название «Феномен заглавия». Как отмечает И.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Делекторская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, не стоит при этом забывать, что история изучения вопроса превышает эти 20 лет. «Опуская рассуждения о прямой связи поэтики заглавий с «философией имени» (которой занимались, в частности, А.Ф. Лосев и П. Флоренский), отметим, что первое исследование на данную тему появилось еще в 1931 году. Тогда в издательстве «Никитинские субботники» вышла книга писателя, теоретика, историка литературы и театра Сигизмунда Кржижановского «Поэтика заглавий». В дальнейшем тема была развита автором и в других работах: «Искусство эпиграфа: Пушкин» (1936), </w:t>
      </w:r>
      <w:r w:rsidRPr="009A6220">
        <w:rPr>
          <w:rFonts w:ascii="Times New Roman" w:hAnsi="Times New Roman" w:cs="Times New Roman"/>
          <w:sz w:val="28"/>
          <w:szCs w:val="28"/>
        </w:rPr>
        <w:lastRenderedPageBreak/>
        <w:t>«Воображаемый Шекспир» (1937), «Пьеса и ее заглавие» (1939)» (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Делекторская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, 2005).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Проф. Ю.Б.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Орлицкий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в докладе «Еще раз об объеме понятия «финальный комплекс» на конференции в Российском государственном гуманитарном университете в апреле 2009 года определил доминантную часть «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заголовочно-финального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комплекса» следующим образом: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i/>
          <w:sz w:val="28"/>
          <w:szCs w:val="28"/>
        </w:rPr>
        <w:t>Заголовочный комплекс</w:t>
      </w:r>
      <w:r w:rsidRPr="009A6220">
        <w:rPr>
          <w:rFonts w:ascii="Times New Roman" w:hAnsi="Times New Roman" w:cs="Times New Roman"/>
          <w:sz w:val="28"/>
          <w:szCs w:val="28"/>
        </w:rPr>
        <w:t>: имя автора, заглавие, подзаголовок, посвящение, эпиграф, подпись под ними, авторская преамбула, первая строка в лирике.</w:t>
      </w:r>
      <w:proofErr w:type="gramEnd"/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i/>
          <w:sz w:val="28"/>
          <w:szCs w:val="28"/>
        </w:rPr>
        <w:t xml:space="preserve">Текст: </w:t>
      </w:r>
      <w:r w:rsidRPr="009A6220">
        <w:rPr>
          <w:rFonts w:ascii="Times New Roman" w:hAnsi="Times New Roman" w:cs="Times New Roman"/>
          <w:sz w:val="28"/>
          <w:szCs w:val="28"/>
        </w:rPr>
        <w:t>первая строка, строки со знаком сноски, сами сноски, финальная строка.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i/>
          <w:sz w:val="28"/>
          <w:szCs w:val="28"/>
        </w:rPr>
        <w:t xml:space="preserve">Финальный комплекс: </w:t>
      </w:r>
      <w:r w:rsidRPr="009A6220">
        <w:rPr>
          <w:rFonts w:ascii="Times New Roman" w:hAnsi="Times New Roman" w:cs="Times New Roman"/>
          <w:sz w:val="28"/>
          <w:szCs w:val="28"/>
        </w:rPr>
        <w:t>финальная фраза (Конец, Занавес), собственная дата написания, место, обстоятельства написания, авторские комментарии.</w:t>
      </w:r>
      <w:proofErr w:type="gramEnd"/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Важность первой строки, ее доминантная позиция не вызывает сомнения. Первая строка стихотворения И. Анненского «</w:t>
      </w:r>
      <w:r w:rsidRPr="009A6220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9A6220">
        <w:rPr>
          <w:rFonts w:ascii="Times New Roman" w:hAnsi="Times New Roman" w:cs="Times New Roman"/>
          <w:sz w:val="28"/>
          <w:szCs w:val="28"/>
        </w:rPr>
        <w:t xml:space="preserve">» - «Я слабый сын больного поколения…» - стала самоопределением декадентов. 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Мы назвали лишь некоторые направления в современном литературоведении.</w:t>
      </w:r>
    </w:p>
    <w:p w:rsidR="00D279D2" w:rsidRPr="009A6220" w:rsidRDefault="00D279D2" w:rsidP="00D279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220">
        <w:rPr>
          <w:rFonts w:ascii="Times New Roman" w:hAnsi="Times New Roman" w:cs="Times New Roman"/>
          <w:i/>
          <w:sz w:val="28"/>
          <w:szCs w:val="28"/>
        </w:rPr>
        <w:t>Рассмотримтему</w:t>
      </w:r>
      <w:proofErr w:type="spellEnd"/>
      <w:r w:rsidRPr="009A6220">
        <w:rPr>
          <w:rFonts w:ascii="Times New Roman" w:hAnsi="Times New Roman" w:cs="Times New Roman"/>
          <w:i/>
          <w:sz w:val="28"/>
          <w:szCs w:val="28"/>
        </w:rPr>
        <w:t xml:space="preserve"> поэта и поэзии в ранней лирике О. Мандельштама</w:t>
      </w:r>
      <w:r w:rsidRPr="009A6220">
        <w:rPr>
          <w:rFonts w:ascii="Times New Roman" w:hAnsi="Times New Roman" w:cs="Times New Roman"/>
          <w:sz w:val="28"/>
          <w:szCs w:val="28"/>
        </w:rPr>
        <w:t xml:space="preserve">. Здесь мы обратимся к тематическому аспекту стихотворений </w:t>
      </w:r>
      <w:r w:rsidRPr="009A622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A6220">
        <w:rPr>
          <w:rFonts w:ascii="Times New Roman" w:hAnsi="Times New Roman" w:cs="Times New Roman"/>
          <w:iCs/>
          <w:sz w:val="28"/>
          <w:szCs w:val="28"/>
          <w:lang w:val="en-US"/>
        </w:rPr>
        <w:t>Silentium</w:t>
      </w:r>
      <w:proofErr w:type="spellEnd"/>
      <w:r w:rsidRPr="009A6220">
        <w:rPr>
          <w:rFonts w:ascii="Times New Roman" w:hAnsi="Times New Roman" w:cs="Times New Roman"/>
          <w:iCs/>
          <w:sz w:val="28"/>
          <w:szCs w:val="28"/>
        </w:rPr>
        <w:t>» и «Я вздрагиваю от холода…»</w:t>
      </w:r>
      <w:r w:rsidRPr="009A6220">
        <w:rPr>
          <w:rFonts w:ascii="Times New Roman" w:hAnsi="Times New Roman" w:cs="Times New Roman"/>
          <w:sz w:val="28"/>
          <w:szCs w:val="28"/>
        </w:rPr>
        <w:t>.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По мнению многих исследователей, стихотворение О. Мандельштама </w:t>
      </w:r>
      <w:r w:rsidRPr="009A622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A6220">
        <w:rPr>
          <w:rFonts w:ascii="Times New Roman" w:hAnsi="Times New Roman" w:cs="Times New Roman"/>
          <w:iCs/>
          <w:sz w:val="28"/>
          <w:szCs w:val="28"/>
          <w:lang w:val="en-US"/>
        </w:rPr>
        <w:t>Silentium</w:t>
      </w:r>
      <w:proofErr w:type="spellEnd"/>
      <w:r w:rsidRPr="009A622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9A6220">
        <w:rPr>
          <w:rFonts w:ascii="Times New Roman" w:hAnsi="Times New Roman" w:cs="Times New Roman"/>
          <w:sz w:val="28"/>
          <w:szCs w:val="28"/>
        </w:rPr>
        <w:t xml:space="preserve">тесно связано с </w:t>
      </w:r>
      <w:r w:rsidRPr="009A6220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A6220">
        <w:rPr>
          <w:rFonts w:ascii="Times New Roman" w:hAnsi="Times New Roman" w:cs="Times New Roman"/>
          <w:iCs/>
          <w:sz w:val="28"/>
          <w:szCs w:val="28"/>
          <w:lang w:val="en-US"/>
        </w:rPr>
        <w:t>Silentium</w:t>
      </w:r>
      <w:proofErr w:type="spellEnd"/>
      <w:r w:rsidRPr="009A6220">
        <w:rPr>
          <w:rFonts w:ascii="Times New Roman" w:hAnsi="Times New Roman" w:cs="Times New Roman"/>
          <w:iCs/>
          <w:sz w:val="28"/>
          <w:szCs w:val="28"/>
        </w:rPr>
        <w:t xml:space="preserve">!» Ф. Тютчева </w:t>
      </w:r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Pr="009A6220">
        <w:rPr>
          <w:rFonts w:ascii="Times New Roman" w:hAnsi="Times New Roman" w:cs="Times New Roman"/>
          <w:sz w:val="28"/>
          <w:szCs w:val="28"/>
        </w:rPr>
        <w:t>6, с. 457</w:t>
      </w:r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], но связь может быть и полемической. Приведем суждение Д.И. </w:t>
      </w:r>
      <w:proofErr w:type="spellStart"/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Черашней</w:t>
      </w:r>
      <w:proofErr w:type="spellEnd"/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A6220">
        <w:rPr>
          <w:rFonts w:ascii="Times New Roman" w:hAnsi="Times New Roman" w:cs="Times New Roman"/>
          <w:sz w:val="28"/>
          <w:szCs w:val="28"/>
        </w:rPr>
        <w:t xml:space="preserve"> «По существу в двух стихотворениях с почти одинаковым названием говорится о разных предметах. Тютчев решает проблему философскую (соотношение мысли и слова), трагически ощущая  невозможность для себя лично выразить в слове мысль о своем душевном мире и быть понятым Другим. Мандельштам же говорит о природе лирики, об изначальной связи музыки и слова, отсюда – иная проблематика в его отношении к своему слову и к другому человеку» </w:t>
      </w:r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[24]</w:t>
      </w:r>
      <w:r w:rsidRPr="009A6220">
        <w:rPr>
          <w:rFonts w:ascii="Times New Roman" w:hAnsi="Times New Roman" w:cs="Times New Roman"/>
          <w:sz w:val="28"/>
          <w:szCs w:val="28"/>
        </w:rPr>
        <w:t xml:space="preserve">. К.Ф.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Тарановский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пишет: «Тютчев подчеркивает невозможность подлинного поэтического творчества ... Мандельштам говорит о его ненужности ... Не нужно нарушать изначальную “связь всего живого”.  Нам не нужна Афродита, и поэт заклинает ее не рождаться.  Нам не нужно и слово, и поэт заклинает его вернуться в музыку» </w:t>
      </w:r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Pr="009A6220">
        <w:rPr>
          <w:rFonts w:ascii="Times New Roman" w:hAnsi="Times New Roman" w:cs="Times New Roman"/>
          <w:sz w:val="28"/>
          <w:szCs w:val="28"/>
        </w:rPr>
        <w:t>9, с. 117</w:t>
      </w:r>
      <w:r w:rsidRPr="009A622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A6220">
        <w:rPr>
          <w:rFonts w:ascii="Times New Roman" w:hAnsi="Times New Roman" w:cs="Times New Roman"/>
          <w:sz w:val="28"/>
          <w:szCs w:val="28"/>
        </w:rPr>
        <w:t xml:space="preserve">. Сходным представляется и рассуждение М.Л.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: «Уже заглавие дает отсылку к знаменитому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тютчевскому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стихотворению: «Как сердцу высказать себя? </w:t>
      </w:r>
      <w:proofErr w:type="gramStart"/>
      <w:r w:rsidRPr="009A622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A6220">
        <w:rPr>
          <w:rFonts w:ascii="Times New Roman" w:hAnsi="Times New Roman" w:cs="Times New Roman"/>
          <w:sz w:val="28"/>
          <w:szCs w:val="28"/>
        </w:rPr>
        <w:t xml:space="preserve"> как понять тебя?» Мандельштам отвечает: отказом от слов, возвращением к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дословесной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(«первоначальная немота»)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всеобъединяющей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 xml:space="preserve"> </w:t>
      </w:r>
      <w:r w:rsidRPr="009A6220">
        <w:rPr>
          <w:rFonts w:ascii="Times New Roman" w:hAnsi="Times New Roman" w:cs="Times New Roman"/>
          <w:sz w:val="28"/>
          <w:szCs w:val="28"/>
        </w:rPr>
        <w:lastRenderedPageBreak/>
        <w:t xml:space="preserve">музыке; в этой «первооснове жизни» сольются сердца, и не нужно будет любви-Афродите связывать их пониманием. Это ответ – </w:t>
      </w:r>
      <w:proofErr w:type="spellStart"/>
      <w:r w:rsidRPr="009A6220">
        <w:rPr>
          <w:rFonts w:ascii="Times New Roman" w:hAnsi="Times New Roman" w:cs="Times New Roman"/>
          <w:sz w:val="28"/>
          <w:szCs w:val="28"/>
        </w:rPr>
        <w:t>верленовский</w:t>
      </w:r>
      <w:proofErr w:type="spellEnd"/>
      <w:r w:rsidRPr="009A6220">
        <w:rPr>
          <w:rFonts w:ascii="Times New Roman" w:hAnsi="Times New Roman" w:cs="Times New Roman"/>
          <w:sz w:val="28"/>
          <w:szCs w:val="28"/>
        </w:rPr>
        <w:t>: он – от его возгласа «Музыка – прежде всего!», с которого начиналось его программное «Искусство поэзии»» [5, с. 329].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9A6220">
        <w:rPr>
          <w:rFonts w:ascii="Times New Roman" w:hAnsi="Times New Roman"/>
          <w:sz w:val="28"/>
          <w:szCs w:val="28"/>
        </w:rPr>
        <w:t xml:space="preserve">ирический герой О. Мандельштама – юный поэт – останавливается перед дилеммой: творить, говорить свое слово или замолчать и постараться вернуться ко времени создания мира. Когда-то, пока не родилась Афродита – богиня красоты, красота была разлита в мире. Она была в воздухе, воде, земле, песне ветра и музыке волн. Слово тогда еще не выделилось из этой естественной музыки. Мир был естественен, правдив и гармоничен. Потом родилась Афродита, ставшая воплощением красоты, и, значит, часть красоты из мира перешла к ней. Родились слово и поэты. Гармония, естественность и правдивость из мира ушли. Так не лучше ли, чтобы Афродита осталась пеной морской </w:t>
      </w: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[18, с. 66]</w:t>
      </w:r>
      <w:r w:rsidRPr="009A6220">
        <w:rPr>
          <w:rFonts w:ascii="Times New Roman" w:hAnsi="Times New Roman"/>
          <w:sz w:val="28"/>
          <w:szCs w:val="28"/>
        </w:rPr>
        <w:t>, поэты замолчали, а мир вернулся к своей первозданности. Так рассуждает лирический герой, готовый принести свой талант в жертву ради чистоты и естественности, которые когда-то царили в мире</w:t>
      </w: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При этом лирический герой – поэт – понимает, что не все зависит только от него, от его желания и решения. Теме долга поэта посвящено стихотворение «Я вздрагиваю от холода…»: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Я вздрагиваю от холода – 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Мне хочется онеметь!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А в небе танцует золото –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A6220">
        <w:rPr>
          <w:rFonts w:ascii="Times New Roman" w:hAnsi="Times New Roman"/>
          <w:sz w:val="28"/>
          <w:szCs w:val="28"/>
        </w:rPr>
        <w:t>Приказывает мне петь</w:t>
      </w: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20">
        <w:rPr>
          <w:rFonts w:ascii="Times New Roman" w:hAnsi="Times New Roman"/>
          <w:sz w:val="28"/>
          <w:szCs w:val="28"/>
        </w:rPr>
        <w:t xml:space="preserve">«Холод» здесь – понятие метафизическое (это и холод окружающего мира, и холод неуверенности в душе юного поэта, и мн. др.). Вторая строка стихотворения перекликается с темой стихотворения </w:t>
      </w:r>
      <w:r w:rsidRPr="009A6220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9A6220">
        <w:rPr>
          <w:rFonts w:ascii="Times New Roman" w:hAnsi="Times New Roman"/>
          <w:iCs/>
          <w:sz w:val="28"/>
          <w:szCs w:val="28"/>
          <w:lang w:val="en-US"/>
        </w:rPr>
        <w:t>Silentium</w:t>
      </w:r>
      <w:proofErr w:type="spellEnd"/>
      <w:r w:rsidRPr="009A6220">
        <w:rPr>
          <w:rFonts w:ascii="Times New Roman" w:hAnsi="Times New Roman"/>
          <w:iCs/>
          <w:sz w:val="28"/>
          <w:szCs w:val="28"/>
        </w:rPr>
        <w:t xml:space="preserve">». Но дальше появляется образ «танцующего золота», которое приказывает поэту творить. Здесь возможно построение следующей семантической цепочки: золото – солнце – Бог </w:t>
      </w: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[20].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20">
        <w:rPr>
          <w:rFonts w:ascii="Times New Roman" w:hAnsi="Times New Roman"/>
          <w:sz w:val="28"/>
          <w:szCs w:val="28"/>
          <w:shd w:val="clear" w:color="auto" w:fill="FFFFFF"/>
        </w:rPr>
        <w:t>Бог дает талант человеку, он же требует выполнения долга. За талант, способность узнавать истину и доносить ее до людей в совершенной форме поэт платит жизнью. Художник обязан подхватить брошенный ему с неба мяч, сыграть в навязанную роком игру.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Лирический герой Мандельштама, как и сам поэт, ценил жизнь, ему ведом был страх смерти, он не склонен был играть со смертью (как, например, Н. Гумилев), но чувство долга, честность, нравственность были ему свойственны в высшей мере. Поэт предвидит будущее, возникает тема «вещей печали»: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Что, если, вздрогнув неправильно,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20">
        <w:rPr>
          <w:rFonts w:ascii="Times New Roman" w:hAnsi="Times New Roman" w:cs="Times New Roman"/>
          <w:sz w:val="28"/>
          <w:szCs w:val="28"/>
        </w:rPr>
        <w:t>Мерцающая всегда,</w:t>
      </w:r>
      <w:proofErr w:type="gramEnd"/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>Своей булавкой заржавленной</w:t>
      </w:r>
    </w:p>
    <w:p w:rsidR="00D279D2" w:rsidRPr="009A6220" w:rsidRDefault="00D279D2" w:rsidP="00D279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20">
        <w:rPr>
          <w:rFonts w:ascii="Times New Roman" w:hAnsi="Times New Roman" w:cs="Times New Roman"/>
          <w:sz w:val="28"/>
          <w:szCs w:val="28"/>
        </w:rPr>
        <w:t xml:space="preserve">Достанет меня звезда? 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2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Здесь можно не только говорить о </w:t>
      </w:r>
      <w:proofErr w:type="spellStart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>подключенности</w:t>
      </w:r>
      <w:proofErr w:type="spellEnd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 xml:space="preserve"> этого стихотворения к традиции «Пророка» А.С. Пушкина, но и о </w:t>
      </w:r>
      <w:proofErr w:type="spellStart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>самоссылке</w:t>
      </w:r>
      <w:proofErr w:type="spellEnd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 xml:space="preserve"> на строки из стихотворения «Сегодня дурной день»: «Мелькающих стрел звон</w:t>
      </w:r>
      <w:proofErr w:type="gramStart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 xml:space="preserve"> / И</w:t>
      </w:r>
      <w:proofErr w:type="gramEnd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 xml:space="preserve"> вещих ворон крик…». </w:t>
      </w:r>
    </w:p>
    <w:p w:rsidR="00D279D2" w:rsidRPr="009A6220" w:rsidRDefault="00D279D2" w:rsidP="00D279D2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220">
        <w:rPr>
          <w:rFonts w:ascii="Times New Roman" w:hAnsi="Times New Roman"/>
          <w:sz w:val="28"/>
          <w:szCs w:val="28"/>
          <w:shd w:val="clear" w:color="auto" w:fill="FFFFFF"/>
        </w:rPr>
        <w:t xml:space="preserve">Вот только стрела превращается в «заржавленную булавку», не </w:t>
      </w:r>
      <w:proofErr w:type="gramStart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>менее смертоносную</w:t>
      </w:r>
      <w:proofErr w:type="gramEnd"/>
      <w:r w:rsidRPr="009A62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1CB0" w:rsidRDefault="00761CB0"/>
    <w:sectPr w:rsidR="0076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74C"/>
    <w:multiLevelType w:val="hybridMultilevel"/>
    <w:tmpl w:val="77EE54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9A5EAD"/>
    <w:multiLevelType w:val="hybridMultilevel"/>
    <w:tmpl w:val="3E2CAB06"/>
    <w:lvl w:ilvl="0" w:tplc="8030160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7E687B"/>
    <w:multiLevelType w:val="hybridMultilevel"/>
    <w:tmpl w:val="3B92A4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536F0E"/>
    <w:multiLevelType w:val="hybridMultilevel"/>
    <w:tmpl w:val="6AAA63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279D2"/>
    <w:rsid w:val="00761CB0"/>
    <w:rsid w:val="00D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D279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D279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2015-12-06T14:40:00Z</dcterms:created>
  <dcterms:modified xsi:type="dcterms:W3CDTF">2015-12-06T14:40:00Z</dcterms:modified>
</cp:coreProperties>
</file>