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AA" w:rsidRPr="009A6220" w:rsidRDefault="00194EAA" w:rsidP="00194EAA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6220">
        <w:rPr>
          <w:rFonts w:ascii="Times New Roman" w:hAnsi="Times New Roman" w:cs="Times New Roman"/>
          <w:i/>
          <w:sz w:val="28"/>
          <w:szCs w:val="28"/>
        </w:rPr>
        <w:t>Соде</w:t>
      </w:r>
      <w:r w:rsidRPr="009A6220">
        <w:rPr>
          <w:rFonts w:ascii="Times New Roman" w:hAnsi="Times New Roman" w:cs="Times New Roman"/>
          <w:sz w:val="28"/>
          <w:szCs w:val="28"/>
        </w:rPr>
        <w:t>рж</w:t>
      </w:r>
      <w:r w:rsidRPr="009A6220">
        <w:rPr>
          <w:rFonts w:ascii="Times New Roman" w:hAnsi="Times New Roman" w:cs="Times New Roman"/>
          <w:i/>
          <w:sz w:val="28"/>
          <w:szCs w:val="28"/>
        </w:rPr>
        <w:t>ание проекта</w:t>
      </w:r>
    </w:p>
    <w:p w:rsidR="00194EAA" w:rsidRPr="009A6220" w:rsidRDefault="00194EAA" w:rsidP="00194EAA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6220">
        <w:rPr>
          <w:rFonts w:ascii="Times New Roman" w:hAnsi="Times New Roman" w:cs="Times New Roman"/>
          <w:i/>
          <w:sz w:val="28"/>
          <w:szCs w:val="28"/>
        </w:rPr>
        <w:t>«Эволюция образа дворника в художественных произведениях XX века»</w:t>
      </w:r>
    </w:p>
    <w:p w:rsidR="00194EAA" w:rsidRPr="009A6220" w:rsidRDefault="00194EAA" w:rsidP="00194EAA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4EAA" w:rsidRPr="009A6220" w:rsidRDefault="00194EAA" w:rsidP="00194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220">
        <w:rPr>
          <w:rFonts w:ascii="Times New Roman" w:hAnsi="Times New Roman" w:cs="Times New Roman"/>
          <w:sz w:val="28"/>
          <w:szCs w:val="28"/>
        </w:rPr>
        <w:t xml:space="preserve">1) Одно из значений слова «дворник» у В. Даля – «работник и сторож при всяком доме» [3, т.1, с.423]. То же можно сказать и об образе дворника: это </w:t>
      </w:r>
      <w:r w:rsidRPr="009A6220">
        <w:rPr>
          <w:rFonts w:ascii="Times New Roman" w:hAnsi="Times New Roman" w:cs="Times New Roman"/>
          <w:sz w:val="28"/>
          <w:szCs w:val="28"/>
          <w:u w:val="single"/>
        </w:rPr>
        <w:t>привычный</w:t>
      </w:r>
      <w:r w:rsidRPr="009A6220">
        <w:rPr>
          <w:rFonts w:ascii="Times New Roman" w:hAnsi="Times New Roman" w:cs="Times New Roman"/>
          <w:sz w:val="28"/>
          <w:szCs w:val="28"/>
        </w:rPr>
        <w:t xml:space="preserve"> персонаж. Писателем изображается человек, принадлежащий к низшей ступени социальной лестницы. Но </w:t>
      </w:r>
      <w:proofErr w:type="gramStart"/>
      <w:r w:rsidRPr="009A62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6220">
        <w:rPr>
          <w:rFonts w:ascii="Times New Roman" w:hAnsi="Times New Roman" w:cs="Times New Roman"/>
          <w:sz w:val="28"/>
          <w:szCs w:val="28"/>
        </w:rPr>
        <w:t xml:space="preserve"> то же время это фигура маргинальная: как отмечает С.А. Гончаров, дворник – медиатор между «официальным» и «неофициальным» мирами [2, с.170], миром богатых и миром бедных людей, вытесненных, порой, даже за рамки закона. Для этих людей дворник также опасен, как и околоточный. Дворник зависим от хозяев, подчинен им, но может </w:t>
      </w:r>
      <w:proofErr w:type="gramStart"/>
      <w:r w:rsidRPr="009A6220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9A6220">
        <w:rPr>
          <w:rFonts w:ascii="Times New Roman" w:hAnsi="Times New Roman" w:cs="Times New Roman"/>
          <w:sz w:val="28"/>
          <w:szCs w:val="28"/>
        </w:rPr>
        <w:t xml:space="preserve"> и обласкан, снисходительно приближен. Это происходит, если дворник выполняет охранительную функцию и если ему дают дополнительные поручения. В последнем случае с ним может быть заключен некий взаимовыгодный договор. </w:t>
      </w:r>
    </w:p>
    <w:p w:rsidR="00194EAA" w:rsidRPr="009A6220" w:rsidRDefault="00194EAA" w:rsidP="00194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220">
        <w:rPr>
          <w:rFonts w:ascii="Times New Roman" w:hAnsi="Times New Roman" w:cs="Times New Roman"/>
          <w:sz w:val="28"/>
          <w:szCs w:val="28"/>
        </w:rPr>
        <w:t xml:space="preserve">Все вышесказанное применимо к характеристике образа дворника из рассказа А. Куприна «Белый пудель». Пограничное положение этого персонажа между мирами проявляется уже в его внешности: «мрачное, узколобое, рябое» лицо «откуда-то вылезшего» «огромного бородатого мужчины» плохо гармонирует с «новой </w:t>
      </w:r>
      <w:proofErr w:type="spellStart"/>
      <w:r w:rsidRPr="009A6220">
        <w:rPr>
          <w:rFonts w:ascii="Times New Roman" w:hAnsi="Times New Roman" w:cs="Times New Roman"/>
          <w:sz w:val="28"/>
          <w:szCs w:val="28"/>
        </w:rPr>
        <w:t>розовой</w:t>
      </w:r>
      <w:proofErr w:type="spellEnd"/>
      <w:r w:rsidRPr="009A6220">
        <w:rPr>
          <w:rFonts w:ascii="Times New Roman" w:hAnsi="Times New Roman" w:cs="Times New Roman"/>
          <w:sz w:val="28"/>
          <w:szCs w:val="28"/>
        </w:rPr>
        <w:t xml:space="preserve"> рубашкой, по которой шли косыми рядами крупные черные горошины». Он одет, с его точки зрения, столь же щеголевато, как и, например, господин «в золотых очках», он </w:t>
      </w:r>
      <w:proofErr w:type="gramStart"/>
      <w:r w:rsidRPr="009A6220">
        <w:rPr>
          <w:rFonts w:ascii="Times New Roman" w:hAnsi="Times New Roman" w:cs="Times New Roman"/>
          <w:sz w:val="28"/>
          <w:szCs w:val="28"/>
        </w:rPr>
        <w:t>не чета</w:t>
      </w:r>
      <w:proofErr w:type="gramEnd"/>
      <w:r w:rsidRPr="009A6220">
        <w:rPr>
          <w:rFonts w:ascii="Times New Roman" w:hAnsi="Times New Roman" w:cs="Times New Roman"/>
          <w:sz w:val="28"/>
          <w:szCs w:val="28"/>
        </w:rPr>
        <w:t xml:space="preserve"> садовнику «в фартуке» [5, с.109]. Значимо и то, что дворник осмеливается прийти смотреть представление (действие происходит во дворе, а он вместе с садовником – «хозяин» двора), но прячется (знает свое место). Важна для понимания образа и попытка заключить договор с людьми, стоящими «ниже» него, как с ним это сделали те, кто стоял «выше». Когда это не выходит, дворник действует так, как диктуют собственные интересы и интересы хозяев – крадет собаку. Он вообще похож на хозяев: так же уверен, что все продается и покупается, беспринципен, но и ленив (недаром не догнал беглецов).</w:t>
      </w:r>
    </w:p>
    <w:p w:rsidR="00194EAA" w:rsidRPr="009A6220" w:rsidRDefault="00194EAA" w:rsidP="00194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220">
        <w:rPr>
          <w:rFonts w:ascii="Times New Roman" w:hAnsi="Times New Roman" w:cs="Times New Roman"/>
          <w:sz w:val="28"/>
          <w:szCs w:val="28"/>
        </w:rPr>
        <w:t xml:space="preserve">2) Новую тенденцию (по сравнению с трактовкой А. Куприна) намечает М. Горький в романе «Дело Артамоновых». Тихон </w:t>
      </w:r>
      <w:proofErr w:type="spellStart"/>
      <w:r w:rsidRPr="009A6220">
        <w:rPr>
          <w:rFonts w:ascii="Times New Roman" w:hAnsi="Times New Roman" w:cs="Times New Roman"/>
          <w:sz w:val="28"/>
          <w:szCs w:val="28"/>
        </w:rPr>
        <w:t>Вялов</w:t>
      </w:r>
      <w:proofErr w:type="spellEnd"/>
      <w:r w:rsidRPr="009A6220">
        <w:rPr>
          <w:rFonts w:ascii="Times New Roman" w:hAnsi="Times New Roman" w:cs="Times New Roman"/>
          <w:sz w:val="28"/>
          <w:szCs w:val="28"/>
        </w:rPr>
        <w:t xml:space="preserve"> – важнейший для автора персонаж (об этом свидетельствовал сам писатель [4, с.368]). Тихон - не традиционный дворник, каким он изображался в очерковой литературе XIX века или, например, у Куприна. Горький практически не показывает Тихона за работой: он лишь находится во дворе и обычно кому-то что-то говорит. Тихону ведомы тайны и грехи семьи Артамоновых, открыт ему и катастрофизм будущего, о котором он, </w:t>
      </w:r>
      <w:r w:rsidRPr="009A6220">
        <w:rPr>
          <w:rFonts w:ascii="Times New Roman" w:hAnsi="Times New Roman" w:cs="Times New Roman"/>
          <w:sz w:val="28"/>
          <w:szCs w:val="28"/>
        </w:rPr>
        <w:lastRenderedPageBreak/>
        <w:t xml:space="preserve">возможно неосознанно, предупреждает (почти все фразы Тихона многозначны, аллегоричны). Тихон, особенно после смерти Ильи, – истинный хозяин дома и двора Артамоновых (это хорошо чувствует Петр). Он – во всяком </w:t>
      </w:r>
      <w:proofErr w:type="gramStart"/>
      <w:r w:rsidRPr="009A622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A6220">
        <w:rPr>
          <w:rFonts w:ascii="Times New Roman" w:hAnsi="Times New Roman" w:cs="Times New Roman"/>
          <w:sz w:val="28"/>
          <w:szCs w:val="28"/>
        </w:rPr>
        <w:t xml:space="preserve"> метафизический хозяин. </w:t>
      </w:r>
      <w:proofErr w:type="gramStart"/>
      <w:r w:rsidRPr="009A6220">
        <w:rPr>
          <w:rFonts w:ascii="Times New Roman" w:hAnsi="Times New Roman" w:cs="Times New Roman"/>
          <w:sz w:val="28"/>
          <w:szCs w:val="28"/>
        </w:rPr>
        <w:t>Здесь уместно вспомнить, что, согласно народным представлениям дом и двор принадлежат не только хозяину (домовладельцу), но и домовому, которого иначе называли «батюшка», «вещун», «хозяин-батюшка», «царь дворовый», «</w:t>
      </w:r>
      <w:proofErr w:type="spellStart"/>
      <w:r w:rsidRPr="009A6220">
        <w:rPr>
          <w:rFonts w:ascii="Times New Roman" w:hAnsi="Times New Roman" w:cs="Times New Roman"/>
          <w:sz w:val="28"/>
          <w:szCs w:val="28"/>
        </w:rPr>
        <w:t>дворовик</w:t>
      </w:r>
      <w:proofErr w:type="spellEnd"/>
      <w:r w:rsidRPr="009A622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A6220">
        <w:rPr>
          <w:rFonts w:ascii="Times New Roman" w:hAnsi="Times New Roman" w:cs="Times New Roman"/>
          <w:sz w:val="28"/>
          <w:szCs w:val="28"/>
        </w:rPr>
        <w:t>дворной</w:t>
      </w:r>
      <w:proofErr w:type="spellEnd"/>
      <w:r w:rsidRPr="009A6220">
        <w:rPr>
          <w:rFonts w:ascii="Times New Roman" w:hAnsi="Times New Roman" w:cs="Times New Roman"/>
          <w:sz w:val="28"/>
          <w:szCs w:val="28"/>
        </w:rPr>
        <w:t>», «дворовой», «другая половина» и т.д.</w:t>
      </w:r>
      <w:proofErr w:type="gramEnd"/>
      <w:r w:rsidRPr="009A6220">
        <w:rPr>
          <w:rFonts w:ascii="Times New Roman" w:hAnsi="Times New Roman" w:cs="Times New Roman"/>
          <w:sz w:val="28"/>
          <w:szCs w:val="28"/>
        </w:rPr>
        <w:t xml:space="preserve"> Домовой показывается людям в разных обличьях: монахом, предсказывающим спящим судьбу, мужчиной, похожим на хозяина дома и т.д. Он может быть злым или добрым, охранять </w:t>
      </w:r>
      <w:proofErr w:type="gramStart"/>
      <w:r w:rsidRPr="009A6220">
        <w:rPr>
          <w:rFonts w:ascii="Times New Roman" w:hAnsi="Times New Roman" w:cs="Times New Roman"/>
          <w:sz w:val="28"/>
          <w:szCs w:val="28"/>
        </w:rPr>
        <w:t>вверенные</w:t>
      </w:r>
      <w:proofErr w:type="gramEnd"/>
      <w:r w:rsidRPr="009A6220">
        <w:rPr>
          <w:rFonts w:ascii="Times New Roman" w:hAnsi="Times New Roman" w:cs="Times New Roman"/>
          <w:sz w:val="28"/>
          <w:szCs w:val="28"/>
        </w:rPr>
        <w:t xml:space="preserve"> ему дом и двор или вредить. В любом случае домовой должен служить нескольким поколениям своих хозяев [10, с.130-131, 133-135, 138, 141, 144-145]. Тихон </w:t>
      </w:r>
      <w:proofErr w:type="spellStart"/>
      <w:r w:rsidRPr="009A6220">
        <w:rPr>
          <w:rFonts w:ascii="Times New Roman" w:hAnsi="Times New Roman" w:cs="Times New Roman"/>
          <w:sz w:val="28"/>
          <w:szCs w:val="28"/>
        </w:rPr>
        <w:t>Вялов</w:t>
      </w:r>
      <w:proofErr w:type="spellEnd"/>
      <w:r w:rsidRPr="009A6220">
        <w:rPr>
          <w:rFonts w:ascii="Times New Roman" w:hAnsi="Times New Roman" w:cs="Times New Roman"/>
          <w:sz w:val="28"/>
          <w:szCs w:val="28"/>
        </w:rPr>
        <w:t xml:space="preserve"> – своеобразный «домовой» семейства Артамоновых: слишком слились их судьбы – Тихон действительно стал «другой половиной». Подходит ему и такое наименование домового, как «вещун». Бесспорно, что у Горького образ дворник социально окрашен (в этом и веянье времени, и установка писателя). Но </w:t>
      </w:r>
      <w:proofErr w:type="gramStart"/>
      <w:r w:rsidRPr="009A6220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9A6220">
        <w:rPr>
          <w:rFonts w:ascii="Times New Roman" w:hAnsi="Times New Roman" w:cs="Times New Roman"/>
          <w:sz w:val="28"/>
          <w:szCs w:val="28"/>
        </w:rPr>
        <w:t xml:space="preserve"> же главное в этом персонаже «Дела Артамоновых» – его условность, даже </w:t>
      </w:r>
      <w:proofErr w:type="spellStart"/>
      <w:r w:rsidRPr="009A6220">
        <w:rPr>
          <w:rFonts w:ascii="Times New Roman" w:hAnsi="Times New Roman" w:cs="Times New Roman"/>
          <w:sz w:val="28"/>
          <w:szCs w:val="28"/>
        </w:rPr>
        <w:t>мифологичность</w:t>
      </w:r>
      <w:proofErr w:type="spellEnd"/>
      <w:r w:rsidRPr="009A62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4EAA" w:rsidRPr="009A6220" w:rsidRDefault="00194EAA" w:rsidP="00194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220">
        <w:rPr>
          <w:rFonts w:ascii="Times New Roman" w:hAnsi="Times New Roman" w:cs="Times New Roman"/>
          <w:sz w:val="28"/>
          <w:szCs w:val="28"/>
        </w:rPr>
        <w:t>3) Еще заметнее соединение социально-бытового с мифологическим в образе дворника у Б. Пастернака в романе «Доктор Живаго».</w:t>
      </w:r>
      <w:proofErr w:type="gramEnd"/>
      <w:r w:rsidRPr="009A6220">
        <w:rPr>
          <w:rFonts w:ascii="Times New Roman" w:hAnsi="Times New Roman" w:cs="Times New Roman"/>
          <w:sz w:val="28"/>
          <w:szCs w:val="28"/>
        </w:rPr>
        <w:t xml:space="preserve"> Не останавливаясь на этом вопросе подробно (это тема отдельного исследования), позволим себе лишь несколько замечаний.</w:t>
      </w:r>
    </w:p>
    <w:p w:rsidR="00194EAA" w:rsidRPr="009A6220" w:rsidRDefault="00194EAA" w:rsidP="00194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220">
        <w:rPr>
          <w:rFonts w:ascii="Times New Roman" w:hAnsi="Times New Roman" w:cs="Times New Roman"/>
          <w:sz w:val="28"/>
          <w:szCs w:val="28"/>
        </w:rPr>
        <w:t xml:space="preserve">Из всех встречающихся в тексте романа дворников наиболее судьбоносная роль принадлежит </w:t>
      </w:r>
      <w:proofErr w:type="spellStart"/>
      <w:r w:rsidRPr="009A6220">
        <w:rPr>
          <w:rFonts w:ascii="Times New Roman" w:hAnsi="Times New Roman" w:cs="Times New Roman"/>
          <w:sz w:val="28"/>
          <w:szCs w:val="28"/>
        </w:rPr>
        <w:t>Маркелу</w:t>
      </w:r>
      <w:proofErr w:type="spellEnd"/>
      <w:r w:rsidRPr="009A6220">
        <w:rPr>
          <w:rFonts w:ascii="Times New Roman" w:hAnsi="Times New Roman" w:cs="Times New Roman"/>
          <w:sz w:val="28"/>
          <w:szCs w:val="28"/>
        </w:rPr>
        <w:t>: он собирает шкаф, послуживший причиной болезни и смерти Анны Ивановны Громеко (а именно ее болезнь и «сговорила» Юрия и Тоню); он ищет Юрия Живаго во время похорон; он присутствует и играет активную роль в обеих сценах возвращения Живаго в Москву;</w:t>
      </w:r>
      <w:proofErr w:type="gramEnd"/>
      <w:r w:rsidRPr="009A6220">
        <w:rPr>
          <w:rFonts w:ascii="Times New Roman" w:hAnsi="Times New Roman" w:cs="Times New Roman"/>
          <w:sz w:val="28"/>
          <w:szCs w:val="28"/>
        </w:rPr>
        <w:t xml:space="preserve"> он все знает о семье Громеко-Живаго; его дочь становится третьей женой Юрия (причем судьбоносная встреча произошла в комнате </w:t>
      </w:r>
      <w:proofErr w:type="spellStart"/>
      <w:r w:rsidRPr="009A6220">
        <w:rPr>
          <w:rFonts w:ascii="Times New Roman" w:hAnsi="Times New Roman" w:cs="Times New Roman"/>
          <w:sz w:val="28"/>
          <w:szCs w:val="28"/>
        </w:rPr>
        <w:t>Маркела</w:t>
      </w:r>
      <w:proofErr w:type="spellEnd"/>
      <w:r w:rsidRPr="009A6220">
        <w:rPr>
          <w:rFonts w:ascii="Times New Roman" w:hAnsi="Times New Roman" w:cs="Times New Roman"/>
          <w:sz w:val="28"/>
          <w:szCs w:val="28"/>
        </w:rPr>
        <w:t xml:space="preserve">, в дворницкой, в его присутствии). Т.о., на </w:t>
      </w:r>
      <w:proofErr w:type="gramStart"/>
      <w:r w:rsidRPr="009A6220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9A6220">
        <w:rPr>
          <w:rFonts w:ascii="Times New Roman" w:hAnsi="Times New Roman" w:cs="Times New Roman"/>
          <w:sz w:val="28"/>
          <w:szCs w:val="28"/>
        </w:rPr>
        <w:t xml:space="preserve"> в общем-то реалистическом образе появляется налет метафизичности. С образом </w:t>
      </w:r>
      <w:proofErr w:type="spellStart"/>
      <w:r w:rsidRPr="009A6220">
        <w:rPr>
          <w:rFonts w:ascii="Times New Roman" w:hAnsi="Times New Roman" w:cs="Times New Roman"/>
          <w:sz w:val="28"/>
          <w:szCs w:val="28"/>
        </w:rPr>
        <w:t>Маркела</w:t>
      </w:r>
      <w:proofErr w:type="spellEnd"/>
      <w:r w:rsidRPr="009A6220">
        <w:rPr>
          <w:rFonts w:ascii="Times New Roman" w:hAnsi="Times New Roman" w:cs="Times New Roman"/>
          <w:sz w:val="28"/>
          <w:szCs w:val="28"/>
        </w:rPr>
        <w:t xml:space="preserve"> (как, впрочем, и с образом Фатимы </w:t>
      </w:r>
      <w:proofErr w:type="spellStart"/>
      <w:r w:rsidRPr="009A6220">
        <w:rPr>
          <w:rFonts w:ascii="Times New Roman" w:hAnsi="Times New Roman" w:cs="Times New Roman"/>
          <w:sz w:val="28"/>
          <w:szCs w:val="28"/>
        </w:rPr>
        <w:t>Галиуллиной</w:t>
      </w:r>
      <w:proofErr w:type="spellEnd"/>
      <w:r w:rsidRPr="009A6220">
        <w:rPr>
          <w:rFonts w:ascii="Times New Roman" w:hAnsi="Times New Roman" w:cs="Times New Roman"/>
          <w:sz w:val="28"/>
          <w:szCs w:val="28"/>
        </w:rPr>
        <w:t xml:space="preserve">) также связана тема «передела» власти. На смену хозяину дома (домовладельцу) приходят жилтоварищества, домкомы, управдомы и наделенные гораздо большей властью дворники. Недаром они часто шли на повышение, занимали «посты». Так актуализировался лозунг: «Кто был ничем, тот станет всем» («Интернационал»). Это и произошло, например, с </w:t>
      </w:r>
      <w:proofErr w:type="spellStart"/>
      <w:r w:rsidRPr="009A6220">
        <w:rPr>
          <w:rFonts w:ascii="Times New Roman" w:hAnsi="Times New Roman" w:cs="Times New Roman"/>
          <w:sz w:val="28"/>
          <w:szCs w:val="28"/>
        </w:rPr>
        <w:t>Маркелом</w:t>
      </w:r>
      <w:proofErr w:type="spellEnd"/>
      <w:r w:rsidRPr="009A62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A6220">
        <w:rPr>
          <w:rFonts w:ascii="Times New Roman" w:hAnsi="Times New Roman" w:cs="Times New Roman"/>
          <w:sz w:val="28"/>
          <w:szCs w:val="28"/>
        </w:rPr>
        <w:t xml:space="preserve">Теперь </w:t>
      </w:r>
      <w:proofErr w:type="spellStart"/>
      <w:r w:rsidRPr="009A6220">
        <w:rPr>
          <w:rFonts w:ascii="Times New Roman" w:hAnsi="Times New Roman" w:cs="Times New Roman"/>
          <w:sz w:val="28"/>
          <w:szCs w:val="28"/>
        </w:rPr>
        <w:t>Маркел</w:t>
      </w:r>
      <w:proofErr w:type="spellEnd"/>
      <w:r w:rsidRPr="009A6220">
        <w:rPr>
          <w:rFonts w:ascii="Times New Roman" w:hAnsi="Times New Roman" w:cs="Times New Roman"/>
          <w:sz w:val="28"/>
          <w:szCs w:val="28"/>
        </w:rPr>
        <w:t xml:space="preserve"> свысока покровительствует Живаго, а его «судьбоносность» приобретает официальный, советский оттенок </w:t>
      </w:r>
      <w:r w:rsidRPr="009A6220">
        <w:rPr>
          <w:rFonts w:ascii="Times New Roman" w:hAnsi="Times New Roman" w:cs="Times New Roman"/>
          <w:sz w:val="28"/>
          <w:szCs w:val="28"/>
        </w:rPr>
        <w:lastRenderedPageBreak/>
        <w:t xml:space="preserve">(«всесильный </w:t>
      </w:r>
      <w:proofErr w:type="spellStart"/>
      <w:r w:rsidRPr="009A6220">
        <w:rPr>
          <w:rFonts w:ascii="Times New Roman" w:hAnsi="Times New Roman" w:cs="Times New Roman"/>
          <w:sz w:val="28"/>
          <w:szCs w:val="28"/>
        </w:rPr>
        <w:t>Маркел</w:t>
      </w:r>
      <w:proofErr w:type="spellEnd"/>
      <w:r w:rsidRPr="009A6220">
        <w:rPr>
          <w:rFonts w:ascii="Times New Roman" w:hAnsi="Times New Roman" w:cs="Times New Roman"/>
          <w:sz w:val="28"/>
          <w:szCs w:val="28"/>
        </w:rPr>
        <w:t xml:space="preserve"> выгородил ему конец бывшей квартиры </w:t>
      </w:r>
      <w:proofErr w:type="spellStart"/>
      <w:r w:rsidRPr="009A6220">
        <w:rPr>
          <w:rFonts w:ascii="Times New Roman" w:hAnsi="Times New Roman" w:cs="Times New Roman"/>
          <w:sz w:val="28"/>
          <w:szCs w:val="28"/>
        </w:rPr>
        <w:t>Свентицких</w:t>
      </w:r>
      <w:proofErr w:type="spellEnd"/>
      <w:r w:rsidRPr="009A6220">
        <w:rPr>
          <w:rFonts w:ascii="Times New Roman" w:hAnsi="Times New Roman" w:cs="Times New Roman"/>
          <w:sz w:val="28"/>
          <w:szCs w:val="28"/>
        </w:rPr>
        <w:t>» [8, с.469].</w:t>
      </w:r>
      <w:proofErr w:type="gramEnd"/>
    </w:p>
    <w:p w:rsidR="00194EAA" w:rsidRPr="009A6220" w:rsidRDefault="00194EAA" w:rsidP="00194EAA">
      <w:pPr>
        <w:pStyle w:val="2"/>
        <w:spacing w:line="276" w:lineRule="auto"/>
        <w:rPr>
          <w:noProof/>
        </w:rPr>
      </w:pPr>
      <w:r w:rsidRPr="009A6220">
        <w:t xml:space="preserve">В романе Пастернака скрыто присутствует мифологический персонаж, которого можно назвать «Небесный дворник». Он </w:t>
      </w:r>
      <w:r w:rsidRPr="009A6220">
        <w:rPr>
          <w:noProof/>
        </w:rPr>
        <w:t>на метафизическом уровне делает то, что большевики в политике и социально-бытовой сфере: очищает землю с помощью метлы-метели.</w:t>
      </w:r>
    </w:p>
    <w:p w:rsidR="00194EAA" w:rsidRPr="009A6220" w:rsidRDefault="00194EAA" w:rsidP="00194EAA">
      <w:pPr>
        <w:pStyle w:val="2"/>
        <w:spacing w:line="276" w:lineRule="auto"/>
      </w:pPr>
      <w:r w:rsidRPr="009A6220">
        <w:t xml:space="preserve">4) После революции для человека с «неподходящим» происхождением, как и для пса из повести М. Булгакова «Собачье сердце», дворник всесилен, опасен (как </w:t>
      </w:r>
      <w:proofErr w:type="gramStart"/>
      <w:r w:rsidRPr="009A6220">
        <w:t>соглядатай</w:t>
      </w:r>
      <w:proofErr w:type="gramEnd"/>
      <w:r w:rsidRPr="009A6220">
        <w:t xml:space="preserve">, доносчик), это жестокая бессмысленная сила. Так показан дворник и в </w:t>
      </w:r>
      <w:proofErr w:type="spellStart"/>
      <w:r w:rsidRPr="009A6220">
        <w:t>булгаковской</w:t>
      </w:r>
      <w:proofErr w:type="spellEnd"/>
      <w:r w:rsidRPr="009A6220">
        <w:t xml:space="preserve"> «Белой гвардии». </w:t>
      </w:r>
    </w:p>
    <w:p w:rsidR="00194EAA" w:rsidRPr="009A6220" w:rsidRDefault="00194EAA" w:rsidP="00194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220">
        <w:rPr>
          <w:rFonts w:ascii="Times New Roman" w:hAnsi="Times New Roman" w:cs="Times New Roman"/>
          <w:sz w:val="28"/>
          <w:szCs w:val="28"/>
        </w:rPr>
        <w:t xml:space="preserve">5) В советской литературе с тенденцией к лакировке (например, в книгах для детей и юношества) дворник изображается как практически идеальный персонаж. Такова </w:t>
      </w:r>
      <w:proofErr w:type="gramStart"/>
      <w:r w:rsidRPr="009A6220">
        <w:rPr>
          <w:rFonts w:ascii="Times New Roman" w:hAnsi="Times New Roman" w:cs="Times New Roman"/>
          <w:sz w:val="28"/>
          <w:szCs w:val="28"/>
        </w:rPr>
        <w:t>дворничиха</w:t>
      </w:r>
      <w:proofErr w:type="gramEnd"/>
      <w:r w:rsidRPr="009A6220">
        <w:rPr>
          <w:rFonts w:ascii="Times New Roman" w:hAnsi="Times New Roman" w:cs="Times New Roman"/>
          <w:sz w:val="28"/>
          <w:szCs w:val="28"/>
        </w:rPr>
        <w:t xml:space="preserve"> Дарима из повести Л.Ф. Воронковой «Старшая сестра» (написанной в 50-е годы). Безупречные личные качества (отзывчивость, чувство собственного достоинства, доброта, приветливость) соседствуют с хозяйским, неравнодушным отношением к работе. </w:t>
      </w:r>
      <w:proofErr w:type="gramStart"/>
      <w:r w:rsidRPr="009A62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A6220">
        <w:rPr>
          <w:rFonts w:ascii="Times New Roman" w:hAnsi="Times New Roman" w:cs="Times New Roman"/>
          <w:sz w:val="28"/>
          <w:szCs w:val="28"/>
        </w:rPr>
        <w:t>Дариму</w:t>
      </w:r>
      <w:proofErr w:type="spellEnd"/>
      <w:r w:rsidRPr="009A6220">
        <w:rPr>
          <w:rFonts w:ascii="Times New Roman" w:hAnsi="Times New Roman" w:cs="Times New Roman"/>
          <w:sz w:val="28"/>
          <w:szCs w:val="28"/>
        </w:rPr>
        <w:t xml:space="preserve"> любили за то, что &lt;…&gt; неинтересную и трудную свою работу (ну что такое работа дворника?</w:t>
      </w:r>
      <w:proofErr w:type="gramEnd"/>
      <w:r w:rsidRPr="009A62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6220">
        <w:rPr>
          <w:rFonts w:ascii="Times New Roman" w:hAnsi="Times New Roman" w:cs="Times New Roman"/>
          <w:sz w:val="28"/>
          <w:szCs w:val="28"/>
        </w:rPr>
        <w:t>Подметешь двор, а через час хоть опять подметай!)</w:t>
      </w:r>
      <w:proofErr w:type="gramEnd"/>
      <w:r w:rsidRPr="009A62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6220">
        <w:rPr>
          <w:rFonts w:ascii="Times New Roman" w:hAnsi="Times New Roman" w:cs="Times New Roman"/>
          <w:sz w:val="28"/>
          <w:szCs w:val="28"/>
        </w:rPr>
        <w:t>Дарима</w:t>
      </w:r>
      <w:proofErr w:type="gramEnd"/>
      <w:r w:rsidRPr="009A6220">
        <w:rPr>
          <w:rFonts w:ascii="Times New Roman" w:hAnsi="Times New Roman" w:cs="Times New Roman"/>
          <w:sz w:val="28"/>
          <w:szCs w:val="28"/>
        </w:rPr>
        <w:t xml:space="preserve"> умела делать весело, прилежно, по-хозяйски. Это она посеяла газон во дворе около забора, это она притащила откуда-то и посадила около ворот два молодых тополька, это она защищает и бережет старые деревья под окнами флигеля, так украшающие двор. «Мой двор», «у меня во дворе» – так любила говорить </w:t>
      </w:r>
      <w:proofErr w:type="gramStart"/>
      <w:r w:rsidRPr="009A6220">
        <w:rPr>
          <w:rFonts w:ascii="Times New Roman" w:hAnsi="Times New Roman" w:cs="Times New Roman"/>
          <w:sz w:val="28"/>
          <w:szCs w:val="28"/>
        </w:rPr>
        <w:t>Дарима</w:t>
      </w:r>
      <w:proofErr w:type="gramEnd"/>
      <w:r w:rsidRPr="009A6220">
        <w:rPr>
          <w:rFonts w:ascii="Times New Roman" w:hAnsi="Times New Roman" w:cs="Times New Roman"/>
          <w:sz w:val="28"/>
          <w:szCs w:val="28"/>
        </w:rPr>
        <w:t xml:space="preserve">. И уже вся улица привыкла к этому, и соседи не называли этот дом домом №5, а говорили: «В доме у </w:t>
      </w:r>
      <w:proofErr w:type="gramStart"/>
      <w:r w:rsidRPr="009A6220">
        <w:rPr>
          <w:rFonts w:ascii="Times New Roman" w:hAnsi="Times New Roman" w:cs="Times New Roman"/>
          <w:sz w:val="28"/>
          <w:szCs w:val="28"/>
        </w:rPr>
        <w:t>Даримы</w:t>
      </w:r>
      <w:proofErr w:type="gramEnd"/>
      <w:r w:rsidRPr="009A6220">
        <w:rPr>
          <w:rFonts w:ascii="Times New Roman" w:hAnsi="Times New Roman" w:cs="Times New Roman"/>
          <w:sz w:val="28"/>
          <w:szCs w:val="28"/>
        </w:rPr>
        <w:t>» &lt;…&gt;» [1, с.323]. Как видим, писательница не скрывает, что труд дворника не престижен и труден, но всячески подчеркивает, что «не место красит человека, а человек место». Воронкова всячески показывает, что в сознании Даримы личное и общественное смешано (она ощущает себя хозяйкой не только личного домика, но и большого дома, двора, страны).</w:t>
      </w:r>
    </w:p>
    <w:p w:rsidR="00194EAA" w:rsidRPr="009A6220" w:rsidRDefault="00194EAA" w:rsidP="00194EAA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220">
        <w:rPr>
          <w:rFonts w:ascii="Times New Roman" w:hAnsi="Times New Roman" w:cs="Times New Roman"/>
          <w:sz w:val="28"/>
          <w:szCs w:val="28"/>
        </w:rPr>
        <w:t xml:space="preserve">6) Иначе функционирует образ дворника в литературе андеграунда – в </w:t>
      </w:r>
      <w:proofErr w:type="spellStart"/>
      <w:proofErr w:type="gramStart"/>
      <w:r w:rsidRPr="009A6220">
        <w:rPr>
          <w:rFonts w:ascii="Times New Roman" w:hAnsi="Times New Roman" w:cs="Times New Roman"/>
          <w:sz w:val="28"/>
          <w:szCs w:val="28"/>
        </w:rPr>
        <w:t>рок-поэзии</w:t>
      </w:r>
      <w:proofErr w:type="spellEnd"/>
      <w:proofErr w:type="gramEnd"/>
      <w:r w:rsidRPr="009A6220">
        <w:rPr>
          <w:rFonts w:ascii="Times New Roman" w:hAnsi="Times New Roman" w:cs="Times New Roman"/>
          <w:sz w:val="28"/>
          <w:szCs w:val="28"/>
        </w:rPr>
        <w:t xml:space="preserve">. Возникает мотив поругания мечты (в песне Майка </w:t>
      </w:r>
      <w:proofErr w:type="spellStart"/>
      <w:r w:rsidRPr="009A6220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9A6220">
        <w:rPr>
          <w:rFonts w:ascii="Times New Roman" w:hAnsi="Times New Roman" w:cs="Times New Roman"/>
          <w:sz w:val="28"/>
          <w:szCs w:val="28"/>
        </w:rPr>
        <w:t xml:space="preserve"> «Уездный город N»). Дворник – то же, что «сумасшедший шарманщик» из одноименного стихотворения А. Вертинского, – это Время. Так понимается образ дворника в песне А. Макаревича «Маленький город». Появляется формула «поколение дворников и сторожей» (в песне Б. Гребенщикова «Поколение дворников») и др.  </w:t>
      </w:r>
    </w:p>
    <w:p w:rsidR="00194EAA" w:rsidRPr="009A6220" w:rsidRDefault="00194EAA" w:rsidP="00194EAA">
      <w:pPr>
        <w:pStyle w:val="2"/>
        <w:spacing w:line="276" w:lineRule="auto"/>
        <w:rPr>
          <w:noProof/>
        </w:rPr>
      </w:pPr>
      <w:r w:rsidRPr="009A6220">
        <w:rPr>
          <w:noProof/>
        </w:rPr>
        <w:t xml:space="preserve">ОБЩИЙ ВЫВОД. На протяжении ХХ века трактовка образа дворника сильно изменилась в сторону, во-первых, мифологизации (образ Небесного дворника – Бога, Смерти; влияние на образ дворника образа домового; </w:t>
      </w:r>
      <w:r w:rsidRPr="009A6220">
        <w:rPr>
          <w:noProof/>
        </w:rPr>
        <w:lastRenderedPageBreak/>
        <w:t xml:space="preserve">усиление (тоже с мифологизацией) роли темы метлы, мотива выметания), во-вторых, политизации (отражение реалий сталинщины; появление «поколения дворников») (Капрусова, </w:t>
      </w:r>
      <w:r w:rsidRPr="009A6220">
        <w:t>2005: 39-56).</w:t>
      </w:r>
    </w:p>
    <w:p w:rsidR="004C446E" w:rsidRDefault="004C446E"/>
    <w:sectPr w:rsidR="004C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EAA"/>
    <w:rsid w:val="00194EAA"/>
    <w:rsid w:val="004C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94EAA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194EA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6607</Characters>
  <Application>Microsoft Office Word</Application>
  <DocSecurity>0</DocSecurity>
  <Lines>55</Lines>
  <Paragraphs>15</Paragraphs>
  <ScaleCrop>false</ScaleCrop>
  <Company/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2015-12-06T14:36:00Z</dcterms:created>
  <dcterms:modified xsi:type="dcterms:W3CDTF">2015-12-06T14:36:00Z</dcterms:modified>
</cp:coreProperties>
</file>