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AB" w:rsidRPr="00CB31AB" w:rsidRDefault="00CB31AB" w:rsidP="00CB31AB">
      <w:pPr>
        <w:ind w:firstLine="709"/>
        <w:jc w:val="center"/>
        <w:rPr>
          <w:color w:val="000000"/>
          <w:sz w:val="28"/>
          <w:szCs w:val="28"/>
        </w:rPr>
      </w:pPr>
      <w:bookmarkStart w:id="0" w:name="в0060"/>
      <w:r w:rsidRPr="00CB31AB">
        <w:rPr>
          <w:b/>
          <w:color w:val="000000"/>
          <w:sz w:val="28"/>
          <w:szCs w:val="28"/>
        </w:rPr>
        <w:t>Игра как форма организации повторения и обобщения знаний учащихся на уроках истории и обществознания.</w:t>
      </w:r>
    </w:p>
    <w:bookmarkEnd w:id="0"/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>В условиях современного информационно-коммуникативного подхода к обучению истории и обществознания игры и игровые приемы обучения приобрели особое значение. Они занимают в н</w:t>
      </w:r>
      <w:r w:rsidRPr="008C07D9">
        <w:rPr>
          <w:color w:val="000000"/>
        </w:rPr>
        <w:t>а</w:t>
      </w:r>
      <w:r w:rsidRPr="008C07D9">
        <w:rPr>
          <w:color w:val="000000"/>
        </w:rPr>
        <w:t>стоящее время прочное место в педагогической практике на разных уровнях. Игры и игровые моменты на уроках дают возможность обучающимся  развивать мыслительные навыки, стимулируют их воо</w:t>
      </w:r>
      <w:r w:rsidRPr="008C07D9">
        <w:rPr>
          <w:color w:val="000000"/>
        </w:rPr>
        <w:t>б</w:t>
      </w:r>
      <w:r w:rsidRPr="008C07D9">
        <w:rPr>
          <w:color w:val="000000"/>
        </w:rPr>
        <w:t>ражение, способствуют «проживанию» судьбы человечества как своей собственной, активизируют  пр</w:t>
      </w:r>
      <w:r w:rsidRPr="008C07D9">
        <w:rPr>
          <w:color w:val="000000"/>
        </w:rPr>
        <w:t>и</w:t>
      </w:r>
      <w:r w:rsidRPr="008C07D9">
        <w:rPr>
          <w:color w:val="000000"/>
        </w:rPr>
        <w:t xml:space="preserve">менение полученных  знаний. 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>В своей практической работе я применяю игры разного вида: устные и письменные, индивид</w:t>
      </w:r>
      <w:r w:rsidRPr="008C07D9">
        <w:rPr>
          <w:color w:val="000000"/>
        </w:rPr>
        <w:t>у</w:t>
      </w:r>
      <w:r w:rsidRPr="008C07D9">
        <w:rPr>
          <w:color w:val="000000"/>
        </w:rPr>
        <w:t>альные и командные, спокойные и подвижные. Разумеется, ни один урок-игра не обходится без современных компьютерных технологий, что делает урок еще более интересным и увлек</w:t>
      </w:r>
      <w:r w:rsidRPr="008C07D9">
        <w:rPr>
          <w:color w:val="000000"/>
        </w:rPr>
        <w:t>а</w:t>
      </w:r>
      <w:r w:rsidRPr="008C07D9">
        <w:rPr>
          <w:color w:val="000000"/>
        </w:rPr>
        <w:t xml:space="preserve">тельным. Чтобы сделать любой урок интересным и эффективным, учитель может подобрать игру для любого этапа урока,  здесь неуместны слова: “Поиграем, если останется время”. 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>Игра может быть использована не только в качестве элемента урока, но и как способ орг</w:t>
      </w:r>
      <w:r w:rsidRPr="008C07D9">
        <w:rPr>
          <w:color w:val="000000"/>
        </w:rPr>
        <w:t>а</w:t>
      </w:r>
      <w:r w:rsidRPr="008C07D9">
        <w:rPr>
          <w:color w:val="000000"/>
        </w:rPr>
        <w:t>низации  урока  по повторению или обобщению темы. Одной из таких игр является игра “Своя игра”. Пр</w:t>
      </w:r>
      <w:r w:rsidRPr="008C07D9">
        <w:rPr>
          <w:color w:val="000000"/>
        </w:rPr>
        <w:t>а</w:t>
      </w:r>
      <w:r w:rsidRPr="008C07D9">
        <w:rPr>
          <w:color w:val="000000"/>
        </w:rPr>
        <w:t>вила игры им понятны, они чувствуют себя уверенными в том, что должно произойти и что им пр</w:t>
      </w:r>
      <w:r w:rsidRPr="008C07D9">
        <w:rPr>
          <w:color w:val="000000"/>
        </w:rPr>
        <w:t>и</w:t>
      </w:r>
      <w:r w:rsidRPr="008C07D9">
        <w:rPr>
          <w:color w:val="000000"/>
        </w:rPr>
        <w:t>дется делать. Она имеет состязательный командный характер. Элемент удачи добавляет увлеченность игрой. Главное её достоинство  –  гибкость, возможность  применения на различных уровнях обучения  истории и обществознания, начиная со средней школы и до 11 класса. Для эт</w:t>
      </w:r>
      <w:r w:rsidRPr="008C07D9">
        <w:rPr>
          <w:color w:val="000000"/>
        </w:rPr>
        <w:t>о</w:t>
      </w:r>
      <w:r w:rsidRPr="008C07D9">
        <w:rPr>
          <w:color w:val="000000"/>
        </w:rPr>
        <w:t>го достаточно поменять сложность выполняемых заданий. Количество заданий тоже может меняться в зависимости от изуче</w:t>
      </w:r>
      <w:r w:rsidRPr="008C07D9">
        <w:rPr>
          <w:color w:val="000000"/>
        </w:rPr>
        <w:t>н</w:t>
      </w:r>
      <w:r w:rsidRPr="008C07D9">
        <w:rPr>
          <w:color w:val="000000"/>
        </w:rPr>
        <w:t>ного материала.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 Благодаря игре, возрастает потребность в творческой деятельн</w:t>
      </w:r>
      <w:r w:rsidRPr="008C07D9">
        <w:rPr>
          <w:color w:val="000000"/>
        </w:rPr>
        <w:t>о</w:t>
      </w:r>
      <w:r w:rsidRPr="008C07D9">
        <w:rPr>
          <w:color w:val="000000"/>
        </w:rPr>
        <w:t>сти, в поиске возможных путей и средств актуализации накопленных знаний, навыков и умений. Игра  развивает память и воображение, помогает  максимально приблизиться к духовному миру данного историческ</w:t>
      </w:r>
      <w:r w:rsidRPr="008C07D9">
        <w:rPr>
          <w:color w:val="000000"/>
        </w:rPr>
        <w:t>о</w:t>
      </w:r>
      <w:r w:rsidRPr="008C07D9">
        <w:rPr>
          <w:color w:val="000000"/>
        </w:rPr>
        <w:t>го периода, определить его ценностные ориентации и  формирует  культуру общения. Немал</w:t>
      </w:r>
      <w:r w:rsidRPr="008C07D9">
        <w:rPr>
          <w:color w:val="000000"/>
        </w:rPr>
        <w:t>о</w:t>
      </w:r>
      <w:r w:rsidRPr="008C07D9">
        <w:rPr>
          <w:color w:val="000000"/>
        </w:rPr>
        <w:t>важно то, что у участников игры развиваются способности  работать в команде,  принимать самостоятельные р</w:t>
      </w:r>
      <w:r w:rsidRPr="008C07D9">
        <w:rPr>
          <w:color w:val="000000"/>
        </w:rPr>
        <w:t>е</w:t>
      </w:r>
      <w:r w:rsidRPr="008C07D9">
        <w:rPr>
          <w:color w:val="000000"/>
        </w:rPr>
        <w:t>шения, оценивать свои действия и действия других.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Подготовиться  учителю к такому уроку не сложно. В начале работы над </w:t>
      </w:r>
      <w:proofErr w:type="gramStart"/>
      <w:r w:rsidRPr="008C07D9">
        <w:rPr>
          <w:color w:val="000000"/>
        </w:rPr>
        <w:t>разделом</w:t>
      </w:r>
      <w:proofErr w:type="gramEnd"/>
      <w:r w:rsidRPr="008C07D9">
        <w:rPr>
          <w:color w:val="000000"/>
        </w:rPr>
        <w:t xml:space="preserve">  об</w:t>
      </w:r>
      <w:r w:rsidRPr="008C07D9">
        <w:rPr>
          <w:color w:val="000000"/>
        </w:rPr>
        <w:t>у</w:t>
      </w:r>
      <w:r w:rsidRPr="008C07D9">
        <w:rPr>
          <w:color w:val="000000"/>
        </w:rPr>
        <w:t>чающимся нужно объявить, что заключительный урок по теме будет проходить в виде игры  “Своя игра”. Класс (группа) делится на две команды.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>Команды по жребию начинают игру, выбирая тему вопроса и его стоимость. Если член кома</w:t>
      </w:r>
      <w:r w:rsidRPr="008C07D9">
        <w:rPr>
          <w:color w:val="000000"/>
        </w:rPr>
        <w:t>н</w:t>
      </w:r>
      <w:r w:rsidRPr="008C07D9">
        <w:rPr>
          <w:color w:val="000000"/>
        </w:rPr>
        <w:t>ды отвечает правильно на заданный вопрос, то команда получает то количество очков, сколько имеет эта клетка. Если ответ участника  неправильный или он не знает ответа, он может обратиться за пом</w:t>
      </w:r>
      <w:r w:rsidRPr="008C07D9">
        <w:rPr>
          <w:color w:val="000000"/>
        </w:rPr>
        <w:t>о</w:t>
      </w:r>
      <w:r w:rsidRPr="008C07D9">
        <w:rPr>
          <w:color w:val="000000"/>
        </w:rPr>
        <w:t>щью к другим членам команды. Но в этом случае команда получает  только одно очко. При неправильных ответах отвечать может команда противника, очки за правильный ответ  н</w:t>
      </w:r>
      <w:r w:rsidRPr="008C07D9">
        <w:rPr>
          <w:color w:val="000000"/>
        </w:rPr>
        <w:t>а</w:t>
      </w:r>
      <w:r w:rsidRPr="008C07D9">
        <w:rPr>
          <w:color w:val="000000"/>
        </w:rPr>
        <w:t>числяются ей. Выигрывает та команда, которая набрала большее количество баллов. Во время и</w:t>
      </w:r>
      <w:r w:rsidRPr="008C07D9">
        <w:rPr>
          <w:color w:val="000000"/>
        </w:rPr>
        <w:t>г</w:t>
      </w:r>
      <w:r w:rsidRPr="008C07D9">
        <w:rPr>
          <w:color w:val="000000"/>
        </w:rPr>
        <w:t>ры можно вести  учет активности и результативности отдельных учащихся путем выдачи индив</w:t>
      </w:r>
      <w:r w:rsidRPr="008C07D9">
        <w:rPr>
          <w:color w:val="000000"/>
        </w:rPr>
        <w:t>и</w:t>
      </w:r>
      <w:r w:rsidRPr="008C07D9">
        <w:rPr>
          <w:color w:val="000000"/>
        </w:rPr>
        <w:t>дуальных жетонов за ка</w:t>
      </w:r>
      <w:r w:rsidRPr="008C07D9">
        <w:rPr>
          <w:color w:val="000000"/>
        </w:rPr>
        <w:t>ж</w:t>
      </w:r>
      <w:r w:rsidRPr="008C07D9">
        <w:rPr>
          <w:color w:val="000000"/>
        </w:rPr>
        <w:t>дый правильный ответ. Правила набора очков можно изменять.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>Применение игры на уроках в старших классах – дело достаточно сложное, особенно, если учитель дает вербальную установку на игру. Большинство старшеклассников считают этот вид деятельности недостойным их внимания. Поэтому введение игры в учебный процесс должно осуществляться п</w:t>
      </w:r>
      <w:r w:rsidRPr="008C07D9">
        <w:rPr>
          <w:color w:val="000000"/>
        </w:rPr>
        <w:t>о</w:t>
      </w:r>
      <w:r w:rsidRPr="008C07D9">
        <w:rPr>
          <w:color w:val="000000"/>
        </w:rPr>
        <w:t>степенно, с небольших игровых эпизодов. Только спустя достаточное длительное время игра станет неотъемлемой частью урока, и ее отсутствие будет вызывать вопросы учеников. Анализируя этот аспект, я пришла к выводу, что переход от неприятия игры к увлечению ей связан с особым типом вза</w:t>
      </w:r>
      <w:r w:rsidRPr="008C07D9">
        <w:rPr>
          <w:color w:val="000000"/>
        </w:rPr>
        <w:t>и</w:t>
      </w:r>
      <w:r w:rsidRPr="008C07D9">
        <w:rPr>
          <w:color w:val="000000"/>
        </w:rPr>
        <w:t>моотношений между учителем и обучающимися.</w:t>
      </w:r>
    </w:p>
    <w:p w:rsidR="00CB31AB" w:rsidRPr="008C07D9" w:rsidRDefault="00CB31AB" w:rsidP="00CB31AB">
      <w:pPr>
        <w:ind w:firstLine="708"/>
        <w:jc w:val="center"/>
        <w:rPr>
          <w:b/>
          <w:color w:val="000000"/>
        </w:rPr>
      </w:pPr>
      <w:r w:rsidRPr="008C07D9">
        <w:rPr>
          <w:b/>
          <w:color w:val="000000"/>
        </w:rPr>
        <w:t>Образец урока-игры по истории «События 1917 года»</w:t>
      </w:r>
    </w:p>
    <w:p w:rsidR="00CB31AB" w:rsidRPr="008C07D9" w:rsidRDefault="00CB31AB" w:rsidP="00CB31AB">
      <w:pPr>
        <w:jc w:val="both"/>
        <w:rPr>
          <w:color w:val="000000"/>
        </w:rPr>
      </w:pPr>
      <w:r w:rsidRPr="008C07D9">
        <w:rPr>
          <w:color w:val="000000"/>
        </w:rPr>
        <w:lastRenderedPageBreak/>
        <w:t>Игровое поле:</w:t>
      </w:r>
    </w:p>
    <w:tbl>
      <w:tblPr>
        <w:tblW w:w="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714"/>
        <w:gridCol w:w="715"/>
        <w:gridCol w:w="715"/>
        <w:gridCol w:w="715"/>
        <w:gridCol w:w="715"/>
        <w:gridCol w:w="715"/>
      </w:tblGrid>
      <w:tr w:rsidR="00CB31AB" w:rsidRPr="008C07D9" w:rsidTr="00D3495D">
        <w:trPr>
          <w:trHeight w:val="645"/>
        </w:trPr>
        <w:tc>
          <w:tcPr>
            <w:tcW w:w="1967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b/>
                <w:bCs/>
                <w:i/>
                <w:iCs/>
                <w:color w:val="000000"/>
              </w:rPr>
              <w:t>ДАТЫ</w:t>
            </w:r>
          </w:p>
        </w:tc>
        <w:tc>
          <w:tcPr>
            <w:tcW w:w="714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5" w:tgtFrame="_parent" w:history="1">
              <w:r w:rsidRPr="008C07D9">
                <w:rPr>
                  <w:color w:val="000000"/>
                </w:rPr>
                <w:t>300</w:t>
              </w:r>
            </w:hyperlink>
          </w:p>
        </w:tc>
      </w:tr>
      <w:tr w:rsidR="00CB31AB" w:rsidRPr="008C07D9" w:rsidTr="00D3495D">
        <w:trPr>
          <w:trHeight w:val="645"/>
        </w:trPr>
        <w:tc>
          <w:tcPr>
            <w:tcW w:w="1967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i/>
                <w:color w:val="000000"/>
              </w:rPr>
            </w:pPr>
            <w:r w:rsidRPr="008C07D9">
              <w:rPr>
                <w:b/>
                <w:bCs/>
                <w:i/>
                <w:iCs/>
                <w:color w:val="000000"/>
              </w:rPr>
              <w:t>исторические термины</w:t>
            </w:r>
          </w:p>
        </w:tc>
        <w:tc>
          <w:tcPr>
            <w:tcW w:w="714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6" w:tgtFrame="_parent" w:history="1">
              <w:r w:rsidRPr="008C07D9">
                <w:rPr>
                  <w:color w:val="000000"/>
                </w:rPr>
                <w:t>50</w:t>
              </w:r>
            </w:hyperlink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7" w:tgtFrame="_parent" w:history="1">
              <w:r w:rsidRPr="008C07D9">
                <w:rPr>
                  <w:color w:val="000000"/>
                </w:rPr>
                <w:t>250</w:t>
              </w:r>
            </w:hyperlink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8" w:tgtFrame="_parent" w:history="1">
              <w:r w:rsidRPr="008C07D9">
                <w:rPr>
                  <w:color w:val="000000"/>
                </w:rPr>
                <w:t>300</w:t>
              </w:r>
            </w:hyperlink>
          </w:p>
        </w:tc>
      </w:tr>
      <w:tr w:rsidR="00CB31AB" w:rsidRPr="008C07D9" w:rsidTr="00D3495D">
        <w:trPr>
          <w:trHeight w:val="645"/>
        </w:trPr>
        <w:tc>
          <w:tcPr>
            <w:tcW w:w="1967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b/>
                <w:bCs/>
                <w:i/>
                <w:iCs/>
                <w:color w:val="000000"/>
              </w:rPr>
              <w:t>ЛИЧНОСТИ</w:t>
            </w:r>
          </w:p>
        </w:tc>
        <w:tc>
          <w:tcPr>
            <w:tcW w:w="714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9" w:tgtFrame="_parent" w:history="1">
              <w:r w:rsidRPr="008C07D9">
                <w:rPr>
                  <w:color w:val="000000"/>
                </w:rPr>
                <w:t>150</w:t>
              </w:r>
            </w:hyperlink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300</w:t>
            </w:r>
          </w:p>
        </w:tc>
      </w:tr>
      <w:tr w:rsidR="00CB31AB" w:rsidRPr="008C07D9" w:rsidTr="00D3495D">
        <w:trPr>
          <w:trHeight w:val="645"/>
        </w:trPr>
        <w:tc>
          <w:tcPr>
            <w:tcW w:w="1967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b/>
                <w:bCs/>
                <w:i/>
                <w:iCs/>
                <w:color w:val="000000"/>
              </w:rPr>
              <w:t>ФЕВРАЛЬ</w:t>
            </w:r>
          </w:p>
        </w:tc>
        <w:tc>
          <w:tcPr>
            <w:tcW w:w="714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10" w:tgtFrame="_parent" w:history="1">
              <w:r w:rsidRPr="008C07D9">
                <w:rPr>
                  <w:color w:val="000000"/>
                </w:rPr>
                <w:t>100</w:t>
              </w:r>
            </w:hyperlink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300</w:t>
            </w:r>
          </w:p>
        </w:tc>
      </w:tr>
      <w:tr w:rsidR="00CB31AB" w:rsidRPr="008C07D9" w:rsidTr="00D3495D">
        <w:trPr>
          <w:trHeight w:val="645"/>
        </w:trPr>
        <w:tc>
          <w:tcPr>
            <w:tcW w:w="1967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  <w:tc>
          <w:tcPr>
            <w:tcW w:w="714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300</w:t>
            </w:r>
          </w:p>
        </w:tc>
      </w:tr>
      <w:tr w:rsidR="00CB31AB" w:rsidRPr="008C07D9" w:rsidTr="00D3495D">
        <w:trPr>
          <w:trHeight w:val="645"/>
        </w:trPr>
        <w:tc>
          <w:tcPr>
            <w:tcW w:w="1967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b/>
                <w:bCs/>
                <w:i/>
                <w:iCs/>
                <w:color w:val="000000"/>
              </w:rPr>
              <w:t>КОТ В МЕШКЕ</w:t>
            </w:r>
          </w:p>
        </w:tc>
        <w:tc>
          <w:tcPr>
            <w:tcW w:w="714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150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11" w:tgtFrame="_parent" w:history="1">
              <w:r w:rsidRPr="008C07D9">
                <w:rPr>
                  <w:color w:val="000000"/>
                </w:rPr>
                <w:t>200</w:t>
              </w:r>
            </w:hyperlink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r w:rsidRPr="008C07D9">
              <w:rPr>
                <w:color w:val="000000"/>
              </w:rPr>
              <w:t>250</w:t>
            </w:r>
          </w:p>
        </w:tc>
        <w:tc>
          <w:tcPr>
            <w:tcW w:w="715" w:type="dxa"/>
            <w:shd w:val="clear" w:color="auto" w:fill="auto"/>
          </w:tcPr>
          <w:p w:rsidR="00CB31AB" w:rsidRPr="008C07D9" w:rsidRDefault="00CB31AB" w:rsidP="00D3495D">
            <w:pPr>
              <w:jc w:val="both"/>
              <w:rPr>
                <w:color w:val="000000"/>
              </w:rPr>
            </w:pPr>
            <w:hyperlink r:id="rId12" w:tgtFrame="_parent" w:history="1">
              <w:r w:rsidRPr="008C07D9">
                <w:rPr>
                  <w:color w:val="000000"/>
                </w:rPr>
                <w:t>300</w:t>
              </w:r>
            </w:hyperlink>
          </w:p>
        </w:tc>
      </w:tr>
    </w:tbl>
    <w:p w:rsidR="00CB31AB" w:rsidRPr="008C07D9" w:rsidRDefault="00CB31AB" w:rsidP="00CB31AB">
      <w:pPr>
        <w:jc w:val="both"/>
        <w:rPr>
          <w:color w:val="000000"/>
          <w:u w:val="single"/>
        </w:rPr>
      </w:pPr>
      <w:r w:rsidRPr="008C07D9">
        <w:rPr>
          <w:b/>
          <w:bCs/>
          <w:i/>
          <w:iCs/>
          <w:color w:val="000000"/>
          <w:u w:val="single"/>
        </w:rPr>
        <w:t>ДАТЫ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>50. Событие под названием «</w:t>
      </w:r>
      <w:proofErr w:type="spellStart"/>
      <w:r w:rsidRPr="008C07D9">
        <w:rPr>
          <w:bCs/>
          <w:color w:val="000000"/>
        </w:rPr>
        <w:t>корниловский</w:t>
      </w:r>
      <w:proofErr w:type="spellEnd"/>
      <w:r w:rsidRPr="008C07D9">
        <w:rPr>
          <w:bCs/>
          <w:color w:val="000000"/>
        </w:rPr>
        <w:t xml:space="preserve"> мятеж» произошло в</w:t>
      </w:r>
      <w:proofErr w:type="gramStart"/>
      <w:r w:rsidRPr="008C07D9">
        <w:rPr>
          <w:bCs/>
          <w:color w:val="000000"/>
        </w:rPr>
        <w:t>....(</w:t>
      </w:r>
      <w:proofErr w:type="gramEnd"/>
      <w:r w:rsidRPr="008C07D9">
        <w:rPr>
          <w:bCs/>
          <w:i/>
          <w:color w:val="000000"/>
        </w:rPr>
        <w:t xml:space="preserve">Августе </w:t>
      </w:r>
      <w:smartTag w:uri="urn:schemas-microsoft-com:office:smarttags" w:element="metricconverter">
        <w:smartTagPr>
          <w:attr w:name="ProductID" w:val="1917 г"/>
        </w:smartTagPr>
        <w:r w:rsidRPr="008C07D9">
          <w:rPr>
            <w:bCs/>
            <w:i/>
            <w:color w:val="000000"/>
          </w:rPr>
          <w:t>1917 г</w:t>
        </w:r>
      </w:smartTag>
      <w:r w:rsidRPr="008C07D9">
        <w:rPr>
          <w:bCs/>
          <w:i/>
          <w:color w:val="000000"/>
        </w:rPr>
        <w:t>.)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>100. Россия была провозглашена республикой в… (</w:t>
      </w:r>
      <w:r w:rsidRPr="008C07D9">
        <w:rPr>
          <w:bCs/>
          <w:i/>
          <w:color w:val="000000"/>
        </w:rPr>
        <w:t xml:space="preserve">1 сентября </w:t>
      </w:r>
      <w:smartTag w:uri="urn:schemas-microsoft-com:office:smarttags" w:element="metricconverter">
        <w:smartTagPr>
          <w:attr w:name="ProductID" w:val="1917 г"/>
        </w:smartTagPr>
        <w:r w:rsidRPr="008C07D9">
          <w:rPr>
            <w:bCs/>
            <w:i/>
            <w:color w:val="000000"/>
          </w:rPr>
          <w:t>1917 г</w:t>
        </w:r>
      </w:smartTag>
      <w:r w:rsidRPr="008C07D9">
        <w:rPr>
          <w:bCs/>
          <w:color w:val="000000"/>
        </w:rPr>
        <w:t>.)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 xml:space="preserve">150 Монархия была ввергнута в… </w:t>
      </w:r>
      <w:r w:rsidRPr="008C07D9">
        <w:rPr>
          <w:bCs/>
          <w:i/>
          <w:color w:val="000000"/>
        </w:rPr>
        <w:t>(2 марта 1917 года)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 xml:space="preserve">200 Принятие </w:t>
      </w:r>
      <w:r w:rsidRPr="008C07D9">
        <w:rPr>
          <w:bCs/>
          <w:color w:val="000000"/>
          <w:lang w:val="en-US"/>
        </w:rPr>
        <w:t>II</w:t>
      </w:r>
      <w:r w:rsidRPr="008C07D9">
        <w:rPr>
          <w:bCs/>
          <w:color w:val="000000"/>
        </w:rPr>
        <w:t xml:space="preserve">  Всероссийским съездом Декрета о мире </w:t>
      </w:r>
      <w:r w:rsidRPr="008C07D9">
        <w:rPr>
          <w:bCs/>
          <w:i/>
          <w:color w:val="000000"/>
        </w:rPr>
        <w:t>(26 октября 1917 г.)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 xml:space="preserve">250. Начало всеобщей политической стачки в Петрограде </w:t>
      </w:r>
      <w:r w:rsidRPr="008C07D9">
        <w:rPr>
          <w:bCs/>
          <w:i/>
          <w:color w:val="000000"/>
        </w:rPr>
        <w:t>(25 февраля 1917.)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 xml:space="preserve">300. Штурм Зимнего дворца, арест министров Временного правительства произошло </w:t>
      </w:r>
      <w:r w:rsidRPr="008C07D9">
        <w:rPr>
          <w:bCs/>
          <w:i/>
          <w:color w:val="000000"/>
        </w:rPr>
        <w:t>(в ночь с 25 на 26 октября 1917 г.)</w:t>
      </w:r>
    </w:p>
    <w:p w:rsidR="00CB31AB" w:rsidRPr="008C07D9" w:rsidRDefault="00CB31AB" w:rsidP="00CB31AB">
      <w:pPr>
        <w:jc w:val="both"/>
        <w:rPr>
          <w:bCs/>
          <w:i/>
          <w:color w:val="000000"/>
        </w:rPr>
      </w:pPr>
    </w:p>
    <w:p w:rsidR="00CB31AB" w:rsidRPr="008C07D9" w:rsidRDefault="00CB31AB" w:rsidP="00CB31AB">
      <w:pPr>
        <w:jc w:val="both"/>
        <w:rPr>
          <w:bCs/>
          <w:color w:val="000000"/>
          <w:u w:val="single"/>
        </w:rPr>
      </w:pPr>
      <w:r w:rsidRPr="008C07D9">
        <w:rPr>
          <w:b/>
          <w:bCs/>
          <w:i/>
          <w:iCs/>
          <w:color w:val="000000"/>
          <w:u w:val="single"/>
        </w:rPr>
        <w:t>ИСТОРИЧЕСКИЕ ТЕРМИНЫ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>50. Наиболее острая форма борьбы между новыми и старыми, отживающимися обществе</w:t>
      </w:r>
      <w:r w:rsidRPr="008C07D9">
        <w:rPr>
          <w:bCs/>
          <w:color w:val="000000"/>
        </w:rPr>
        <w:t>н</w:t>
      </w:r>
      <w:r w:rsidRPr="008C07D9">
        <w:rPr>
          <w:bCs/>
          <w:color w:val="000000"/>
        </w:rPr>
        <w:t xml:space="preserve">ными отношениями </w:t>
      </w:r>
      <w:r w:rsidRPr="008C07D9">
        <w:rPr>
          <w:bCs/>
          <w:i/>
          <w:color w:val="000000"/>
        </w:rPr>
        <w:t>(революция)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 xml:space="preserve">100. Республика – это… </w:t>
      </w:r>
      <w:r w:rsidRPr="008C07D9">
        <w:rPr>
          <w:bCs/>
          <w:i/>
          <w:color w:val="000000"/>
        </w:rPr>
        <w:t>(государственного устройства, при которой верховная власть в гос</w:t>
      </w:r>
      <w:r w:rsidRPr="008C07D9">
        <w:rPr>
          <w:bCs/>
          <w:i/>
          <w:color w:val="000000"/>
        </w:rPr>
        <w:t>у</w:t>
      </w:r>
      <w:r w:rsidRPr="008C07D9">
        <w:rPr>
          <w:bCs/>
          <w:i/>
          <w:color w:val="000000"/>
        </w:rPr>
        <w:t>дарстве принадлежит выбранным на определенный срок органам власти)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 xml:space="preserve">150. «Советы буквально на глазах теряли чувство реальности. Они направляли свои усилия на борьбу с Временным правительством, проповедуя социализм, при этом ничего не делая для преобразования и революционного воспитания русского общества» (название ситуации) </w:t>
      </w:r>
      <w:r w:rsidRPr="008C07D9">
        <w:rPr>
          <w:bCs/>
          <w:i/>
          <w:color w:val="000000"/>
        </w:rPr>
        <w:t>(двоевл</w:t>
      </w:r>
      <w:r w:rsidRPr="008C07D9">
        <w:rPr>
          <w:bCs/>
          <w:i/>
          <w:color w:val="000000"/>
        </w:rPr>
        <w:t>а</w:t>
      </w:r>
      <w:r w:rsidRPr="008C07D9">
        <w:rPr>
          <w:bCs/>
          <w:i/>
          <w:color w:val="000000"/>
        </w:rPr>
        <w:t>стие)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 xml:space="preserve">200. Мир с одной из стран коалиции противников </w:t>
      </w:r>
      <w:r w:rsidRPr="008C07D9">
        <w:rPr>
          <w:bCs/>
          <w:i/>
          <w:color w:val="000000"/>
        </w:rPr>
        <w:t>(сепаратный мир)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>250. Насильственное присоединение, захват одним государством территории другого госуда</w:t>
      </w:r>
      <w:r w:rsidRPr="008C07D9">
        <w:rPr>
          <w:bCs/>
          <w:color w:val="000000"/>
        </w:rPr>
        <w:t>р</w:t>
      </w:r>
      <w:r w:rsidRPr="008C07D9">
        <w:rPr>
          <w:bCs/>
          <w:color w:val="000000"/>
        </w:rPr>
        <w:t xml:space="preserve">ства </w:t>
      </w:r>
      <w:r w:rsidRPr="008C07D9">
        <w:rPr>
          <w:bCs/>
          <w:i/>
          <w:color w:val="000000"/>
        </w:rPr>
        <w:t>(аннексия)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>300 Всеохватывающая политическая, экономическая, идеологическая власть, осуществля</w:t>
      </w:r>
      <w:r w:rsidRPr="008C07D9">
        <w:rPr>
          <w:bCs/>
          <w:color w:val="000000"/>
        </w:rPr>
        <w:t>е</w:t>
      </w:r>
      <w:r w:rsidRPr="008C07D9">
        <w:rPr>
          <w:bCs/>
          <w:color w:val="000000"/>
        </w:rPr>
        <w:t xml:space="preserve">мая группой людей со своим лидером </w:t>
      </w:r>
      <w:r w:rsidRPr="008C07D9">
        <w:rPr>
          <w:bCs/>
          <w:i/>
          <w:color w:val="000000"/>
        </w:rPr>
        <w:t>(диктатура)</w:t>
      </w:r>
    </w:p>
    <w:p w:rsidR="00CB31AB" w:rsidRPr="008C07D9" w:rsidRDefault="00CB31AB" w:rsidP="00CB31AB">
      <w:pPr>
        <w:jc w:val="both"/>
        <w:rPr>
          <w:bCs/>
          <w:color w:val="000000"/>
          <w:u w:val="single"/>
        </w:rPr>
      </w:pPr>
      <w:r w:rsidRPr="008C07D9">
        <w:rPr>
          <w:b/>
          <w:bCs/>
          <w:i/>
          <w:iCs/>
          <w:color w:val="000000"/>
          <w:u w:val="single"/>
        </w:rPr>
        <w:t>ЛИЧНОСТИ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 xml:space="preserve">50 Лидер партии большевиков </w:t>
      </w:r>
      <w:r w:rsidRPr="008C07D9">
        <w:rPr>
          <w:bCs/>
          <w:i/>
          <w:color w:val="000000"/>
        </w:rPr>
        <w:t>(В.И.Ленин)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>100. Назовите царя: «Вот Иван Николаевич обратился ко мне и говорит: - Что ж вы, Сергей Юльевич, думаете относительно нашего нового императора? Я ответил, что о делах говорил с ним мало, знаю, что он совсем неопытный, но не глупый, и он на меня производил впечатление хор</w:t>
      </w:r>
      <w:r w:rsidRPr="008C07D9">
        <w:rPr>
          <w:bCs/>
          <w:color w:val="000000"/>
        </w:rPr>
        <w:t>о</w:t>
      </w:r>
      <w:r w:rsidRPr="008C07D9">
        <w:rPr>
          <w:bCs/>
          <w:color w:val="000000"/>
        </w:rPr>
        <w:t xml:space="preserve">шего и </w:t>
      </w:r>
      <w:proofErr w:type="gramStart"/>
      <w:r w:rsidRPr="008C07D9">
        <w:rPr>
          <w:bCs/>
          <w:color w:val="000000"/>
        </w:rPr>
        <w:t>весьма воспитанного</w:t>
      </w:r>
      <w:proofErr w:type="gramEnd"/>
      <w:r w:rsidRPr="008C07D9">
        <w:rPr>
          <w:bCs/>
          <w:color w:val="000000"/>
        </w:rPr>
        <w:t xml:space="preserve"> человека». (Из воспоминаний С.Ю.Витте) </w:t>
      </w:r>
      <w:r w:rsidRPr="008C07D9">
        <w:rPr>
          <w:bCs/>
          <w:i/>
          <w:color w:val="000000"/>
        </w:rPr>
        <w:t xml:space="preserve">(Николай </w:t>
      </w:r>
      <w:r w:rsidRPr="008C07D9">
        <w:rPr>
          <w:bCs/>
          <w:i/>
          <w:color w:val="000000"/>
          <w:lang w:val="en-US"/>
        </w:rPr>
        <w:t>II</w:t>
      </w:r>
      <w:r w:rsidRPr="008C07D9">
        <w:rPr>
          <w:bCs/>
          <w:i/>
          <w:color w:val="000000"/>
        </w:rPr>
        <w:t>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>150. Глава исполнительной власти, отдавший данный приказ: «…Приказываю:</w:t>
      </w:r>
      <w:r w:rsidRPr="008C07D9">
        <w:rPr>
          <w:bCs/>
          <w:color w:val="000000"/>
        </w:rPr>
        <w:br/>
        <w:t>1) Генералу Корнилову сдать должность Верховного главнокомандующего…</w:t>
      </w:r>
      <w:r w:rsidRPr="008C07D9">
        <w:rPr>
          <w:bCs/>
          <w:color w:val="000000"/>
        </w:rPr>
        <w:br/>
        <w:t xml:space="preserve">2) Объявить город Петроград и Петроградский уезд на военном положении». </w:t>
      </w:r>
      <w:r w:rsidRPr="008C07D9">
        <w:rPr>
          <w:bCs/>
          <w:i/>
          <w:color w:val="000000"/>
        </w:rPr>
        <w:t>(Керенский А.Ф.)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 xml:space="preserve">200. Министр иностранных дел Временного правительства </w:t>
      </w:r>
      <w:r w:rsidRPr="008C07D9">
        <w:rPr>
          <w:bCs/>
          <w:i/>
          <w:color w:val="000000"/>
        </w:rPr>
        <w:t>(П.Н.Милюков)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 xml:space="preserve">250. Верховный главнокомандующий Красной Армией </w:t>
      </w:r>
      <w:r w:rsidRPr="008C07D9">
        <w:rPr>
          <w:bCs/>
          <w:i/>
          <w:color w:val="000000"/>
        </w:rPr>
        <w:t>(Л.Г.Корнилов</w:t>
      </w:r>
      <w:r w:rsidRPr="008C07D9">
        <w:rPr>
          <w:bCs/>
          <w:color w:val="000000"/>
        </w:rPr>
        <w:t>)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 xml:space="preserve">300. С 25 октября 1917 г. председатель Петроградского совета </w:t>
      </w:r>
      <w:r w:rsidRPr="008C07D9">
        <w:rPr>
          <w:bCs/>
          <w:i/>
          <w:color w:val="000000"/>
        </w:rPr>
        <w:t>(</w:t>
      </w:r>
      <w:proofErr w:type="spellStart"/>
      <w:r w:rsidRPr="008C07D9">
        <w:rPr>
          <w:bCs/>
          <w:i/>
          <w:color w:val="000000"/>
        </w:rPr>
        <w:t>Л.ДТроцкий</w:t>
      </w:r>
      <w:proofErr w:type="spellEnd"/>
      <w:r w:rsidRPr="008C07D9">
        <w:rPr>
          <w:bCs/>
          <w:i/>
          <w:color w:val="000000"/>
        </w:rPr>
        <w:t>)</w:t>
      </w:r>
    </w:p>
    <w:p w:rsidR="00CB31AB" w:rsidRPr="008C07D9" w:rsidRDefault="00CB31AB" w:rsidP="00CB31AB">
      <w:pPr>
        <w:jc w:val="both"/>
        <w:rPr>
          <w:bCs/>
          <w:color w:val="000000"/>
          <w:u w:val="single"/>
        </w:rPr>
      </w:pPr>
      <w:r w:rsidRPr="008C07D9">
        <w:rPr>
          <w:b/>
          <w:bCs/>
          <w:i/>
          <w:iCs/>
          <w:color w:val="000000"/>
          <w:u w:val="single"/>
        </w:rPr>
        <w:lastRenderedPageBreak/>
        <w:t>ФЕВРАЛЬ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>50. Итогом Февральской революции является</w:t>
      </w:r>
      <w:r w:rsidRPr="008C07D9">
        <w:rPr>
          <w:bCs/>
          <w:i/>
          <w:color w:val="000000"/>
        </w:rPr>
        <w:t>…(свержение монархии)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100. </w:t>
      </w:r>
      <w:r w:rsidRPr="008C07D9">
        <w:rPr>
          <w:bCs/>
          <w:color w:val="000000"/>
        </w:rPr>
        <w:t>Недовольство продолжавшейся войной, продовольственный кризис являются осно</w:t>
      </w:r>
      <w:r w:rsidRPr="008C07D9">
        <w:rPr>
          <w:bCs/>
          <w:color w:val="000000"/>
        </w:rPr>
        <w:t>в</w:t>
      </w:r>
      <w:r w:rsidRPr="008C07D9">
        <w:rPr>
          <w:bCs/>
          <w:color w:val="000000"/>
        </w:rPr>
        <w:t>ными</w:t>
      </w:r>
      <w:r w:rsidRPr="008C07D9">
        <w:rPr>
          <w:bCs/>
          <w:i/>
          <w:color w:val="000000"/>
        </w:rPr>
        <w:t>…(причинами Февральской революции)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150. </w:t>
      </w:r>
      <w:r w:rsidRPr="008C07D9">
        <w:rPr>
          <w:bCs/>
          <w:color w:val="000000"/>
        </w:rPr>
        <w:t xml:space="preserve">3 марта 1917 года произошло событие </w:t>
      </w:r>
      <w:r w:rsidRPr="008C07D9">
        <w:rPr>
          <w:bCs/>
          <w:i/>
          <w:color w:val="000000"/>
        </w:rPr>
        <w:t>(отречение Михаила от престола)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200. </w:t>
      </w:r>
      <w:r w:rsidRPr="008C07D9">
        <w:rPr>
          <w:bCs/>
          <w:color w:val="000000"/>
        </w:rPr>
        <w:t xml:space="preserve">Основной задачей Февральской революции является </w:t>
      </w:r>
      <w:r w:rsidRPr="008C07D9">
        <w:rPr>
          <w:bCs/>
          <w:i/>
          <w:color w:val="000000"/>
        </w:rPr>
        <w:t>(установление в России республ</w:t>
      </w:r>
      <w:r w:rsidRPr="008C07D9">
        <w:rPr>
          <w:bCs/>
          <w:i/>
          <w:color w:val="000000"/>
        </w:rPr>
        <w:t>и</w:t>
      </w:r>
      <w:r w:rsidRPr="008C07D9">
        <w:rPr>
          <w:bCs/>
          <w:i/>
          <w:color w:val="000000"/>
        </w:rPr>
        <w:t>ки)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250. </w:t>
      </w:r>
      <w:r w:rsidRPr="008C07D9">
        <w:rPr>
          <w:bCs/>
          <w:color w:val="000000"/>
        </w:rPr>
        <w:t xml:space="preserve">Забастовка на Путиловском заводе началась </w:t>
      </w:r>
      <w:r w:rsidRPr="008C07D9">
        <w:rPr>
          <w:bCs/>
          <w:i/>
          <w:color w:val="000000"/>
        </w:rPr>
        <w:t>(18 февраля 1917 г.)</w:t>
      </w:r>
    </w:p>
    <w:p w:rsidR="00CB31AB" w:rsidRPr="008C07D9" w:rsidRDefault="00CB31AB" w:rsidP="00CB31AB">
      <w:pPr>
        <w:ind w:firstLine="708"/>
        <w:jc w:val="both"/>
        <w:rPr>
          <w:i/>
          <w:color w:val="000000"/>
        </w:rPr>
      </w:pPr>
      <w:r w:rsidRPr="008C07D9">
        <w:rPr>
          <w:color w:val="000000"/>
        </w:rPr>
        <w:t xml:space="preserve">300. </w:t>
      </w:r>
      <w:r w:rsidRPr="008C07D9">
        <w:rPr>
          <w:bCs/>
          <w:color w:val="000000"/>
        </w:rPr>
        <w:t xml:space="preserve">Председателем </w:t>
      </w:r>
      <w:proofErr w:type="gramStart"/>
      <w:r w:rsidRPr="008C07D9">
        <w:rPr>
          <w:bCs/>
          <w:color w:val="000000"/>
        </w:rPr>
        <w:t>Временного</w:t>
      </w:r>
      <w:proofErr w:type="gramEnd"/>
      <w:r w:rsidRPr="008C07D9">
        <w:rPr>
          <w:bCs/>
          <w:color w:val="000000"/>
        </w:rPr>
        <w:t xml:space="preserve"> правительств был</w:t>
      </w:r>
      <w:r w:rsidRPr="008C07D9">
        <w:rPr>
          <w:bCs/>
          <w:i/>
          <w:color w:val="000000"/>
        </w:rPr>
        <w:t xml:space="preserve"> (князь Г.Е.Львов)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</w:p>
    <w:p w:rsidR="00CB31AB" w:rsidRPr="008C07D9" w:rsidRDefault="00CB31AB" w:rsidP="00CB31AB">
      <w:pPr>
        <w:jc w:val="both"/>
        <w:rPr>
          <w:color w:val="000000"/>
          <w:u w:val="single"/>
        </w:rPr>
      </w:pPr>
      <w:r w:rsidRPr="008C07D9">
        <w:rPr>
          <w:b/>
          <w:bCs/>
          <w:i/>
          <w:iCs/>
          <w:color w:val="000000"/>
          <w:u w:val="single"/>
        </w:rPr>
        <w:t>ОКТЯБРЬ</w:t>
      </w:r>
    </w:p>
    <w:p w:rsidR="00CB31AB" w:rsidRPr="008C07D9" w:rsidRDefault="00CB31AB" w:rsidP="00CB31AB">
      <w:pPr>
        <w:ind w:firstLine="708"/>
        <w:jc w:val="both"/>
        <w:rPr>
          <w:bCs/>
          <w:color w:val="000000"/>
        </w:rPr>
      </w:pPr>
      <w:r w:rsidRPr="008C07D9">
        <w:rPr>
          <w:bCs/>
          <w:color w:val="000000"/>
        </w:rPr>
        <w:t>50. Призывом к началу Октябрьского вооруженного восстания послужило</w:t>
      </w:r>
      <w:r w:rsidRPr="008C07D9">
        <w:rPr>
          <w:bCs/>
          <w:i/>
          <w:color w:val="000000"/>
        </w:rPr>
        <w:t xml:space="preserve"> (холостой залп кре</w:t>
      </w:r>
      <w:r w:rsidRPr="008C07D9">
        <w:rPr>
          <w:bCs/>
          <w:i/>
          <w:color w:val="000000"/>
        </w:rPr>
        <w:t>й</w:t>
      </w:r>
      <w:r w:rsidRPr="008C07D9">
        <w:rPr>
          <w:bCs/>
          <w:i/>
          <w:color w:val="000000"/>
        </w:rPr>
        <w:t>сера «Аврора»)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100. </w:t>
      </w:r>
      <w:r w:rsidRPr="008C07D9">
        <w:rPr>
          <w:bCs/>
          <w:color w:val="000000"/>
          <w:lang w:val="en-US"/>
        </w:rPr>
        <w:t>II</w:t>
      </w:r>
      <w:r w:rsidRPr="008C07D9">
        <w:rPr>
          <w:bCs/>
          <w:color w:val="000000"/>
        </w:rPr>
        <w:t xml:space="preserve"> Всероссийский съезд Советов принял</w:t>
      </w:r>
      <w:r w:rsidRPr="008C07D9">
        <w:rPr>
          <w:color w:val="000000"/>
        </w:rPr>
        <w:t xml:space="preserve"> </w:t>
      </w:r>
      <w:r w:rsidRPr="008C07D9">
        <w:rPr>
          <w:bCs/>
          <w:color w:val="000000"/>
        </w:rPr>
        <w:t xml:space="preserve">декреты </w:t>
      </w:r>
      <w:r w:rsidRPr="008C07D9">
        <w:rPr>
          <w:bCs/>
          <w:i/>
          <w:color w:val="000000"/>
        </w:rPr>
        <w:t>(Декрет о мире, Декрет о земле)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150. </w:t>
      </w:r>
      <w:r w:rsidRPr="008C07D9">
        <w:rPr>
          <w:bCs/>
          <w:color w:val="000000"/>
        </w:rPr>
        <w:t>Итогом</w:t>
      </w:r>
      <w:r w:rsidRPr="008C07D9">
        <w:rPr>
          <w:b/>
          <w:bCs/>
          <w:color w:val="000000"/>
        </w:rPr>
        <w:t xml:space="preserve"> </w:t>
      </w:r>
      <w:r w:rsidRPr="008C07D9">
        <w:rPr>
          <w:bCs/>
          <w:color w:val="000000"/>
        </w:rPr>
        <w:t xml:space="preserve">Октябрьского вооруженного восстания является </w:t>
      </w:r>
      <w:r w:rsidRPr="008C07D9">
        <w:rPr>
          <w:bCs/>
          <w:i/>
          <w:color w:val="000000"/>
        </w:rPr>
        <w:t>(объявление России республ</w:t>
      </w:r>
      <w:r w:rsidRPr="008C07D9">
        <w:rPr>
          <w:bCs/>
          <w:i/>
          <w:color w:val="000000"/>
        </w:rPr>
        <w:t>и</w:t>
      </w:r>
      <w:r w:rsidRPr="008C07D9">
        <w:rPr>
          <w:bCs/>
          <w:i/>
          <w:color w:val="000000"/>
        </w:rPr>
        <w:t>кой)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200. </w:t>
      </w:r>
      <w:r w:rsidRPr="008C07D9">
        <w:rPr>
          <w:bCs/>
          <w:color w:val="000000"/>
        </w:rPr>
        <w:t xml:space="preserve">Центральным исполнительным органом советской власти был </w:t>
      </w:r>
      <w:r w:rsidRPr="008C07D9">
        <w:rPr>
          <w:bCs/>
          <w:i/>
          <w:color w:val="000000"/>
        </w:rPr>
        <w:t>(ВЦИК)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250. </w:t>
      </w:r>
      <w:r w:rsidRPr="008C07D9">
        <w:rPr>
          <w:bCs/>
          <w:color w:val="000000"/>
        </w:rPr>
        <w:t xml:space="preserve">Практической реализацией «Декрета о мире» является </w:t>
      </w:r>
      <w:r w:rsidRPr="008C07D9">
        <w:rPr>
          <w:bCs/>
          <w:i/>
          <w:color w:val="000000"/>
        </w:rPr>
        <w:t>(заключение Брестского мира)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 xml:space="preserve">300. </w:t>
      </w:r>
      <w:r w:rsidRPr="008C07D9">
        <w:rPr>
          <w:bCs/>
          <w:color w:val="000000"/>
        </w:rPr>
        <w:t>Высшим государственным органом советской власти</w:t>
      </w:r>
      <w:r w:rsidRPr="008C07D9">
        <w:rPr>
          <w:color w:val="000000"/>
        </w:rPr>
        <w:t xml:space="preserve"> </w:t>
      </w:r>
      <w:r w:rsidRPr="008C07D9">
        <w:rPr>
          <w:bCs/>
          <w:color w:val="000000"/>
        </w:rPr>
        <w:t xml:space="preserve">после Октября стал </w:t>
      </w:r>
      <w:r w:rsidRPr="008C07D9">
        <w:rPr>
          <w:bCs/>
          <w:i/>
          <w:color w:val="000000"/>
        </w:rPr>
        <w:t>(Совет Н</w:t>
      </w:r>
      <w:r w:rsidRPr="008C07D9">
        <w:rPr>
          <w:bCs/>
          <w:i/>
          <w:color w:val="000000"/>
        </w:rPr>
        <w:t>а</w:t>
      </w:r>
      <w:r w:rsidRPr="008C07D9">
        <w:rPr>
          <w:bCs/>
          <w:i/>
          <w:color w:val="000000"/>
        </w:rPr>
        <w:t>родных Комиссаров)</w:t>
      </w:r>
    </w:p>
    <w:p w:rsidR="00CB31AB" w:rsidRPr="008C07D9" w:rsidRDefault="00CB31AB" w:rsidP="00CB31AB">
      <w:pPr>
        <w:jc w:val="both"/>
        <w:rPr>
          <w:b/>
          <w:bCs/>
          <w:i/>
          <w:iCs/>
          <w:color w:val="000000"/>
          <w:u w:val="single"/>
        </w:rPr>
      </w:pPr>
      <w:r w:rsidRPr="008C07D9">
        <w:rPr>
          <w:b/>
          <w:bCs/>
          <w:i/>
          <w:iCs/>
          <w:color w:val="000000"/>
          <w:u w:val="single"/>
        </w:rPr>
        <w:t>КОТ В МЕШКЕ</w:t>
      </w:r>
    </w:p>
    <w:p w:rsidR="00CB31AB" w:rsidRPr="008C07D9" w:rsidRDefault="00CB31AB" w:rsidP="00CB31AB">
      <w:pPr>
        <w:ind w:firstLine="708"/>
        <w:jc w:val="both"/>
        <w:rPr>
          <w:bCs/>
          <w:i/>
          <w:color w:val="000000"/>
        </w:rPr>
      </w:pPr>
      <w:r w:rsidRPr="008C07D9">
        <w:rPr>
          <w:bCs/>
          <w:color w:val="000000"/>
        </w:rPr>
        <w:t>50. Поводом к апрельским выступлениям рабочих и солдат против Временного правител</w:t>
      </w:r>
      <w:r w:rsidRPr="008C07D9">
        <w:rPr>
          <w:bCs/>
          <w:color w:val="000000"/>
        </w:rPr>
        <w:t>ь</w:t>
      </w:r>
      <w:r w:rsidRPr="008C07D9">
        <w:rPr>
          <w:bCs/>
          <w:color w:val="000000"/>
        </w:rPr>
        <w:t>ства стала</w:t>
      </w:r>
      <w:r w:rsidRPr="008C07D9">
        <w:rPr>
          <w:bCs/>
          <w:i/>
          <w:color w:val="000000"/>
        </w:rPr>
        <w:t>…(нота П.Н.Милюкова)</w:t>
      </w:r>
    </w:p>
    <w:p w:rsidR="00CB31AB" w:rsidRPr="008C07D9" w:rsidRDefault="00CB31AB" w:rsidP="00CB31AB">
      <w:pPr>
        <w:ind w:firstLine="708"/>
        <w:jc w:val="both"/>
        <w:rPr>
          <w:i/>
          <w:color w:val="000000"/>
        </w:rPr>
      </w:pPr>
      <w:r w:rsidRPr="008C07D9">
        <w:rPr>
          <w:bCs/>
          <w:color w:val="000000"/>
        </w:rPr>
        <w:t xml:space="preserve">100. Основным лозунгом народных масс в июне 1917 года стал лозунг </w:t>
      </w:r>
      <w:r w:rsidRPr="008C07D9">
        <w:rPr>
          <w:bCs/>
          <w:i/>
          <w:color w:val="000000"/>
        </w:rPr>
        <w:t>(«Долой войну!»)</w:t>
      </w:r>
    </w:p>
    <w:p w:rsidR="00CB31AB" w:rsidRPr="008C07D9" w:rsidRDefault="00CB31AB" w:rsidP="00CB31AB">
      <w:pPr>
        <w:ind w:firstLine="708"/>
        <w:jc w:val="both"/>
        <w:rPr>
          <w:i/>
          <w:color w:val="000000"/>
        </w:rPr>
      </w:pPr>
      <w:r w:rsidRPr="008C07D9">
        <w:rPr>
          <w:bCs/>
          <w:color w:val="000000"/>
        </w:rPr>
        <w:t xml:space="preserve">150. Председатель СНК </w:t>
      </w:r>
      <w:r w:rsidRPr="008C07D9">
        <w:rPr>
          <w:bCs/>
          <w:i/>
          <w:color w:val="000000"/>
        </w:rPr>
        <w:t>(В.И.Ленин)</w:t>
      </w:r>
    </w:p>
    <w:p w:rsidR="00CB31AB" w:rsidRPr="008C07D9" w:rsidRDefault="00CB31AB" w:rsidP="00CB31AB">
      <w:pPr>
        <w:ind w:firstLine="708"/>
        <w:jc w:val="both"/>
        <w:rPr>
          <w:i/>
          <w:color w:val="000000"/>
        </w:rPr>
      </w:pPr>
      <w:r w:rsidRPr="008C07D9">
        <w:rPr>
          <w:bCs/>
          <w:color w:val="000000"/>
        </w:rPr>
        <w:t xml:space="preserve">200. Закончите фразу: «Советы – «сила», потому что они опираются на…» </w:t>
      </w:r>
      <w:r w:rsidRPr="008C07D9">
        <w:rPr>
          <w:bCs/>
          <w:i/>
          <w:color w:val="000000"/>
        </w:rPr>
        <w:t>(массы рабочих и солдат)</w:t>
      </w:r>
    </w:p>
    <w:p w:rsidR="00CB31AB" w:rsidRPr="008C07D9" w:rsidRDefault="00CB31AB" w:rsidP="00CB31AB">
      <w:pPr>
        <w:ind w:firstLine="708"/>
        <w:jc w:val="both"/>
        <w:rPr>
          <w:i/>
          <w:color w:val="000000"/>
        </w:rPr>
      </w:pPr>
      <w:r w:rsidRPr="008C07D9">
        <w:rPr>
          <w:color w:val="000000"/>
        </w:rPr>
        <w:t xml:space="preserve">250. Закончите фразу: «2 июля кадеты вышли из состава Временного правительства в связи с разногласиями по…» </w:t>
      </w:r>
      <w:r w:rsidRPr="008C07D9">
        <w:rPr>
          <w:i/>
          <w:color w:val="000000"/>
        </w:rPr>
        <w:t>(национальному вопросу)</w:t>
      </w:r>
    </w:p>
    <w:p w:rsidR="00CB31AB" w:rsidRPr="008C07D9" w:rsidRDefault="00CB31AB" w:rsidP="00CB31AB">
      <w:pPr>
        <w:ind w:firstLine="708"/>
        <w:jc w:val="both"/>
        <w:rPr>
          <w:i/>
          <w:color w:val="000000"/>
        </w:rPr>
      </w:pPr>
      <w:r w:rsidRPr="008C07D9">
        <w:rPr>
          <w:color w:val="000000"/>
        </w:rPr>
        <w:t xml:space="preserve">300.Представительное учреждение, созданное на основе всеобщего избирательного права для установления формы правления и выработки конституции – это </w:t>
      </w:r>
      <w:r w:rsidRPr="008C07D9">
        <w:rPr>
          <w:i/>
          <w:color w:val="000000"/>
        </w:rPr>
        <w:t>(Учредительное собрание).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>Подведение итогов. Счетная комиссия подводит итоги и оглашает сумму набранных баллов к</w:t>
      </w:r>
      <w:r w:rsidRPr="008C07D9">
        <w:rPr>
          <w:color w:val="000000"/>
        </w:rPr>
        <w:t>а</w:t>
      </w:r>
      <w:r w:rsidRPr="008C07D9">
        <w:rPr>
          <w:color w:val="000000"/>
        </w:rPr>
        <w:t>ждой команды. Команда, набравшая большее количество баллов объявляется победителем.</w:t>
      </w:r>
    </w:p>
    <w:p w:rsidR="00CB31AB" w:rsidRPr="008C07D9" w:rsidRDefault="00CB31AB" w:rsidP="00CB31AB">
      <w:pPr>
        <w:ind w:firstLine="708"/>
        <w:jc w:val="both"/>
        <w:rPr>
          <w:color w:val="000000"/>
        </w:rPr>
      </w:pPr>
      <w:r w:rsidRPr="008C07D9">
        <w:rPr>
          <w:color w:val="000000"/>
        </w:rPr>
        <w:t>В целом, подводя некоторый итог использования игры на собств</w:t>
      </w:r>
      <w:r>
        <w:rPr>
          <w:color w:val="000000"/>
        </w:rPr>
        <w:t xml:space="preserve">енных уроках </w:t>
      </w:r>
      <w:r w:rsidRPr="008C07D9">
        <w:rPr>
          <w:color w:val="000000"/>
        </w:rPr>
        <w:t xml:space="preserve"> можно сказать следующее:</w:t>
      </w:r>
    </w:p>
    <w:p w:rsidR="00CB31AB" w:rsidRPr="008C07D9" w:rsidRDefault="00CB31AB" w:rsidP="00CB31A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D9">
        <w:rPr>
          <w:rFonts w:ascii="Times New Roman" w:hAnsi="Times New Roman"/>
          <w:color w:val="000000"/>
          <w:sz w:val="24"/>
          <w:szCs w:val="24"/>
        </w:rPr>
        <w:t>Заметно повышается успеваемость по предмету, ответы становятся более глубокими, продума</w:t>
      </w:r>
      <w:r w:rsidRPr="008C07D9">
        <w:rPr>
          <w:rFonts w:ascii="Times New Roman" w:hAnsi="Times New Roman"/>
          <w:color w:val="000000"/>
          <w:sz w:val="24"/>
          <w:szCs w:val="24"/>
        </w:rPr>
        <w:t>н</w:t>
      </w:r>
      <w:r w:rsidRPr="008C07D9">
        <w:rPr>
          <w:rFonts w:ascii="Times New Roman" w:hAnsi="Times New Roman"/>
          <w:color w:val="000000"/>
          <w:sz w:val="24"/>
          <w:szCs w:val="24"/>
        </w:rPr>
        <w:t>ными, практически всегда высказывается личная точка зрения;</w:t>
      </w:r>
    </w:p>
    <w:p w:rsidR="00CB31AB" w:rsidRPr="008C07D9" w:rsidRDefault="00CB31AB" w:rsidP="00CB31A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D9">
        <w:rPr>
          <w:rFonts w:ascii="Times New Roman" w:hAnsi="Times New Roman"/>
          <w:color w:val="000000"/>
          <w:sz w:val="24"/>
          <w:szCs w:val="24"/>
        </w:rPr>
        <w:t>Изменяется микроклимат в классном коллективе: появляется взаимопонимание, внимательное отн</w:t>
      </w:r>
      <w:r w:rsidRPr="008C07D9">
        <w:rPr>
          <w:rFonts w:ascii="Times New Roman" w:hAnsi="Times New Roman"/>
          <w:color w:val="000000"/>
          <w:sz w:val="24"/>
          <w:szCs w:val="24"/>
        </w:rPr>
        <w:t>о</w:t>
      </w:r>
      <w:r w:rsidRPr="008C07D9">
        <w:rPr>
          <w:rFonts w:ascii="Times New Roman" w:hAnsi="Times New Roman"/>
          <w:color w:val="000000"/>
          <w:sz w:val="24"/>
          <w:szCs w:val="24"/>
        </w:rPr>
        <w:t>шение к мнению одноклассников;</w:t>
      </w:r>
    </w:p>
    <w:p w:rsidR="00CB31AB" w:rsidRPr="008C07D9" w:rsidRDefault="00CB31AB" w:rsidP="00CB31A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D9">
        <w:rPr>
          <w:rFonts w:ascii="Times New Roman" w:hAnsi="Times New Roman"/>
          <w:color w:val="000000"/>
          <w:sz w:val="24"/>
          <w:szCs w:val="24"/>
        </w:rPr>
        <w:t>Повышается интерес к истории, что проявляется в чтении исторической литературы, обсуждении проблем исторической науки и не только на уроках, но и в свободное от занятий время.</w:t>
      </w:r>
    </w:p>
    <w:p w:rsidR="00CB31AB" w:rsidRPr="008C07D9" w:rsidRDefault="00CB31AB" w:rsidP="00CB31A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7E4" w:rsidRDefault="003B57E4"/>
    <w:sectPr w:rsidR="003B57E4" w:rsidSect="003B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F9A"/>
    <w:multiLevelType w:val="hybridMultilevel"/>
    <w:tmpl w:val="D31EA87C"/>
    <w:lvl w:ilvl="0" w:tplc="FC2E1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AB"/>
    <w:rsid w:val="001F7AAE"/>
    <w:rsid w:val="003B57E4"/>
    <w:rsid w:val="007F1C90"/>
    <w:rsid w:val="00C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5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4.ppt" TargetMode="External"/><Relationship Id="rId12" Type="http://schemas.openxmlformats.org/officeDocument/2006/relationships/hyperlink" Target="39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0.ppt" TargetMode="External"/><Relationship Id="rId11" Type="http://schemas.openxmlformats.org/officeDocument/2006/relationships/hyperlink" Target="37.ppt" TargetMode="External"/><Relationship Id="rId5" Type="http://schemas.openxmlformats.org/officeDocument/2006/relationships/hyperlink" Target="9.ppt" TargetMode="External"/><Relationship Id="rId10" Type="http://schemas.openxmlformats.org/officeDocument/2006/relationships/hyperlink" Target="17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30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2015-10-31T16:22:00Z</dcterms:created>
  <dcterms:modified xsi:type="dcterms:W3CDTF">2015-10-31T16:37:00Z</dcterms:modified>
</cp:coreProperties>
</file>