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FC" w:rsidRDefault="0099295F" w:rsidP="00A14F99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2E5687">
        <w:rPr>
          <w:rFonts w:ascii="Times New Roman" w:hAnsi="Times New Roman" w:cs="Times New Roman"/>
          <w:b/>
          <w:sz w:val="36"/>
        </w:rPr>
        <w:t>Оценка уровня успеваемости учащихся с применением информационных технологий.</w:t>
      </w:r>
    </w:p>
    <w:p w:rsidR="002E5687" w:rsidRPr="002E5687" w:rsidRDefault="002E5687" w:rsidP="002E56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b/>
          <w:sz w:val="28"/>
          <w:szCs w:val="28"/>
        </w:rPr>
        <w:t>Разработано</w:t>
      </w:r>
      <w:r w:rsidRPr="002E5687">
        <w:rPr>
          <w:rFonts w:ascii="Times New Roman" w:hAnsi="Times New Roman" w:cs="Times New Roman"/>
          <w:sz w:val="28"/>
          <w:szCs w:val="28"/>
        </w:rPr>
        <w:t>: Каскевич Н.Г.</w:t>
      </w:r>
    </w:p>
    <w:p w:rsidR="002E5687" w:rsidRPr="002E5687" w:rsidRDefault="002E5687" w:rsidP="002E56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>Учителем математики</w:t>
      </w:r>
    </w:p>
    <w:p w:rsidR="002E5687" w:rsidRPr="002E5687" w:rsidRDefault="002E5687" w:rsidP="00A14F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446703066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2E5687" w:rsidRPr="002E5687" w:rsidRDefault="002E5687">
          <w:pPr>
            <w:pStyle w:val="a7"/>
            <w:rPr>
              <w:rFonts w:ascii="Times New Roman" w:hAnsi="Times New Roman" w:cs="Times New Roman"/>
            </w:rPr>
          </w:pPr>
          <w:r w:rsidRPr="002E5687">
            <w:rPr>
              <w:rFonts w:ascii="Times New Roman" w:hAnsi="Times New Roman" w:cs="Times New Roman"/>
            </w:rPr>
            <w:t>Оглавление</w:t>
          </w:r>
        </w:p>
        <w:p w:rsidR="002E5687" w:rsidRDefault="002E56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2E568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56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568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2775995" w:history="1">
            <w:r w:rsidRPr="00750B1C">
              <w:rPr>
                <w:rStyle w:val="a8"/>
                <w:rFonts w:ascii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_Toc422775995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687" w:rsidRDefault="002E56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2775996" w:history="1">
            <w:r w:rsidRPr="00750B1C">
              <w:rPr>
                <w:rStyle w:val="a8"/>
                <w:rFonts w:ascii="Times New Roman" w:hAnsi="Times New Roman" w:cs="Times New Roman"/>
                <w:noProof/>
              </w:rPr>
              <w:t>Описание метода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_Toc422775996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687" w:rsidRDefault="002E56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2775997" w:history="1">
            <w:r w:rsidRPr="00750B1C">
              <w:rPr>
                <w:rStyle w:val="a8"/>
                <w:rFonts w:ascii="Times New Roman" w:hAnsi="Times New Roman" w:cs="Times New Roman"/>
                <w:noProof/>
              </w:rPr>
              <w:t>Сбор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_Toc422775997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687" w:rsidRDefault="002E56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2775998" w:history="1">
            <w:r w:rsidRPr="00750B1C">
              <w:rPr>
                <w:rStyle w:val="a8"/>
                <w:rFonts w:ascii="Times New Roman" w:hAnsi="Times New Roman" w:cs="Times New Roman"/>
                <w:noProof/>
              </w:rPr>
              <w:t>Проведение расчёта и подготовка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_Toc422775998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687" w:rsidRDefault="002E56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2775999" w:history="1">
            <w:r w:rsidRPr="00750B1C">
              <w:rPr>
                <w:rStyle w:val="a8"/>
                <w:rFonts w:ascii="Times New Roman" w:hAnsi="Times New Roman" w:cs="Times New Roman"/>
                <w:noProof/>
              </w:rPr>
              <w:t>Пример расчета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_Toc422775999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687" w:rsidRPr="002E5687" w:rsidRDefault="002E5687">
          <w:pPr>
            <w:rPr>
              <w:rFonts w:ascii="Times New Roman" w:hAnsi="Times New Roman" w:cs="Times New Roman"/>
              <w:sz w:val="28"/>
              <w:szCs w:val="28"/>
            </w:rPr>
          </w:pPr>
          <w:r w:rsidRPr="002E568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E5687" w:rsidRPr="002E5687" w:rsidRDefault="002E5687" w:rsidP="00A14F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5F" w:rsidRPr="002E5687" w:rsidRDefault="0099295F" w:rsidP="00A14F99">
      <w:pPr>
        <w:pStyle w:val="1"/>
        <w:spacing w:line="360" w:lineRule="auto"/>
        <w:rPr>
          <w:rFonts w:ascii="Times New Roman" w:hAnsi="Times New Roman" w:cs="Times New Roman"/>
        </w:rPr>
      </w:pPr>
      <w:bookmarkStart w:id="0" w:name="_Toc422775995"/>
      <w:r w:rsidRPr="002E5687">
        <w:rPr>
          <w:rFonts w:ascii="Times New Roman" w:hAnsi="Times New Roman" w:cs="Times New Roman"/>
        </w:rPr>
        <w:t>Введение</w:t>
      </w:r>
      <w:bookmarkEnd w:id="0"/>
    </w:p>
    <w:p w:rsidR="00C51B67" w:rsidRPr="002E5687" w:rsidRDefault="0099295F" w:rsidP="00A14F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 xml:space="preserve">Каждый учитель обязательно проводит анализ своей работы. В этом нам помогает, утвержденная в школе, оценочная пятибалльная система. </w:t>
      </w:r>
      <w:r w:rsidR="00AA2702" w:rsidRPr="002E5687">
        <w:rPr>
          <w:rFonts w:ascii="Times New Roman" w:hAnsi="Times New Roman" w:cs="Times New Roman"/>
          <w:sz w:val="28"/>
          <w:szCs w:val="28"/>
        </w:rPr>
        <w:t>У</w:t>
      </w:r>
      <w:r w:rsidRPr="002E5687">
        <w:rPr>
          <w:rFonts w:ascii="Times New Roman" w:hAnsi="Times New Roman" w:cs="Times New Roman"/>
          <w:sz w:val="28"/>
          <w:szCs w:val="28"/>
        </w:rPr>
        <w:t xml:space="preserve">становлены четкие периоды подведения итогов – четверти, год, итог. </w:t>
      </w:r>
      <w:r w:rsidR="00AA2702" w:rsidRPr="002E5687">
        <w:rPr>
          <w:rFonts w:ascii="Times New Roman" w:hAnsi="Times New Roman" w:cs="Times New Roman"/>
          <w:sz w:val="28"/>
          <w:szCs w:val="28"/>
        </w:rPr>
        <w:t xml:space="preserve">При подведении итогов мы производим расчет качества успеваемости по классам. Считаем </w:t>
      </w:r>
      <w:r w:rsidR="00C51B67" w:rsidRPr="002E5687">
        <w:rPr>
          <w:rFonts w:ascii="Times New Roman" w:hAnsi="Times New Roman" w:cs="Times New Roman"/>
          <w:sz w:val="28"/>
          <w:szCs w:val="28"/>
        </w:rPr>
        <w:t xml:space="preserve">количество оценок </w:t>
      </w:r>
      <w:r w:rsidR="00AA2702" w:rsidRPr="002E5687">
        <w:rPr>
          <w:rFonts w:ascii="Times New Roman" w:hAnsi="Times New Roman" w:cs="Times New Roman"/>
          <w:sz w:val="28"/>
          <w:szCs w:val="28"/>
        </w:rPr>
        <w:t xml:space="preserve">без </w:t>
      </w:r>
      <w:r w:rsidR="00C51B67" w:rsidRPr="002E5687">
        <w:rPr>
          <w:rFonts w:ascii="Times New Roman" w:hAnsi="Times New Roman" w:cs="Times New Roman"/>
          <w:sz w:val="28"/>
          <w:szCs w:val="28"/>
        </w:rPr>
        <w:t xml:space="preserve">троек и двоек, и делим на общее количество учащихся класса. </w:t>
      </w:r>
      <w:r w:rsidR="00AA2702" w:rsidRPr="002E5687">
        <w:rPr>
          <w:rFonts w:ascii="Times New Roman" w:hAnsi="Times New Roman" w:cs="Times New Roman"/>
          <w:sz w:val="28"/>
          <w:szCs w:val="28"/>
        </w:rPr>
        <w:t xml:space="preserve">Мы получаем общую цифру – процент успеваемости. Конечно, сравниваем эти показатели с предыдущим периодом. </w:t>
      </w:r>
    </w:p>
    <w:p w:rsidR="00C51B67" w:rsidRPr="002E5687" w:rsidRDefault="00AA2702" w:rsidP="00A14F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>Но насколько информативны такие данные? Как определить успешность работы над каждой изучаемой темой?</w:t>
      </w:r>
      <w:r w:rsidR="00C51B67" w:rsidRPr="002E5687">
        <w:rPr>
          <w:rFonts w:ascii="Times New Roman" w:hAnsi="Times New Roman" w:cs="Times New Roman"/>
          <w:sz w:val="28"/>
          <w:szCs w:val="28"/>
        </w:rPr>
        <w:t xml:space="preserve"> Как показать динамику обучаемости класса?</w:t>
      </w:r>
      <w:r w:rsidRPr="002E5687">
        <w:rPr>
          <w:rFonts w:ascii="Times New Roman" w:hAnsi="Times New Roman" w:cs="Times New Roman"/>
          <w:sz w:val="28"/>
          <w:szCs w:val="28"/>
        </w:rPr>
        <w:t xml:space="preserve"> </w:t>
      </w:r>
      <w:r w:rsidR="008E3737" w:rsidRPr="002E5687">
        <w:rPr>
          <w:rFonts w:ascii="Times New Roman" w:hAnsi="Times New Roman" w:cs="Times New Roman"/>
          <w:sz w:val="28"/>
          <w:szCs w:val="28"/>
        </w:rPr>
        <w:t xml:space="preserve">Как сравнивать динамику обучаемости целой параллели? </w:t>
      </w:r>
      <w:r w:rsidRPr="002E5687">
        <w:rPr>
          <w:rFonts w:ascii="Times New Roman" w:hAnsi="Times New Roman" w:cs="Times New Roman"/>
          <w:sz w:val="28"/>
          <w:szCs w:val="28"/>
        </w:rPr>
        <w:t xml:space="preserve">Ведь общие итоги не позволяют нам производить такой анализ, а </w:t>
      </w:r>
      <w:r w:rsidR="00C51B67" w:rsidRPr="002E5687">
        <w:rPr>
          <w:rFonts w:ascii="Times New Roman" w:hAnsi="Times New Roman" w:cs="Times New Roman"/>
          <w:sz w:val="28"/>
          <w:szCs w:val="28"/>
        </w:rPr>
        <w:t>значит,</w:t>
      </w:r>
      <w:r w:rsidRPr="002E5687">
        <w:rPr>
          <w:rFonts w:ascii="Times New Roman" w:hAnsi="Times New Roman" w:cs="Times New Roman"/>
          <w:sz w:val="28"/>
          <w:szCs w:val="28"/>
        </w:rPr>
        <w:t xml:space="preserve"> нет возможности вноси</w:t>
      </w:r>
      <w:r w:rsidR="008E3737" w:rsidRPr="002E5687">
        <w:rPr>
          <w:rFonts w:ascii="Times New Roman" w:hAnsi="Times New Roman" w:cs="Times New Roman"/>
          <w:sz w:val="28"/>
          <w:szCs w:val="28"/>
        </w:rPr>
        <w:t xml:space="preserve">ть корректировки в планирование своей работы. </w:t>
      </w:r>
    </w:p>
    <w:p w:rsidR="0099295F" w:rsidRPr="002E5687" w:rsidRDefault="0099295F" w:rsidP="00A14F99">
      <w:pPr>
        <w:pStyle w:val="1"/>
        <w:spacing w:line="360" w:lineRule="auto"/>
        <w:rPr>
          <w:rFonts w:ascii="Times New Roman" w:hAnsi="Times New Roman" w:cs="Times New Roman"/>
        </w:rPr>
      </w:pPr>
      <w:bookmarkStart w:id="1" w:name="_Toc422775996"/>
      <w:r w:rsidRPr="002E5687">
        <w:rPr>
          <w:rFonts w:ascii="Times New Roman" w:hAnsi="Times New Roman" w:cs="Times New Roman"/>
        </w:rPr>
        <w:lastRenderedPageBreak/>
        <w:t>Описание метода</w:t>
      </w:r>
      <w:bookmarkEnd w:id="1"/>
    </w:p>
    <w:p w:rsidR="008E3737" w:rsidRPr="002E5687" w:rsidRDefault="008E3737" w:rsidP="00A14F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 xml:space="preserve">По установленному порядку работы в школе каждый учитель </w:t>
      </w:r>
      <w:r w:rsidR="00B30268" w:rsidRPr="002E5687">
        <w:rPr>
          <w:rFonts w:ascii="Times New Roman" w:hAnsi="Times New Roman" w:cs="Times New Roman"/>
          <w:sz w:val="28"/>
          <w:szCs w:val="28"/>
        </w:rPr>
        <w:t>обязан составить рабочую программу, в которой прописаны изучаемые темы и разно уровневый контроль обучаемости в соответствии с целями и задачами.</w:t>
      </w:r>
      <w:r w:rsidR="00E12E84" w:rsidRPr="002E5687">
        <w:rPr>
          <w:rFonts w:ascii="Times New Roman" w:hAnsi="Times New Roman" w:cs="Times New Roman"/>
          <w:sz w:val="28"/>
          <w:szCs w:val="28"/>
        </w:rPr>
        <w:t xml:space="preserve"> </w:t>
      </w:r>
      <w:r w:rsidR="009F6CBE" w:rsidRPr="002E5687">
        <w:rPr>
          <w:rFonts w:ascii="Times New Roman" w:hAnsi="Times New Roman" w:cs="Times New Roman"/>
          <w:sz w:val="28"/>
          <w:szCs w:val="28"/>
        </w:rPr>
        <w:t xml:space="preserve">Это входные и итоговые контрольные работы, текущие </w:t>
      </w:r>
      <w:r w:rsidR="00E12E84" w:rsidRPr="002E5687"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</w:t>
      </w:r>
      <w:r w:rsidR="009F6CBE" w:rsidRPr="002E5687">
        <w:rPr>
          <w:rFonts w:ascii="Times New Roman" w:hAnsi="Times New Roman" w:cs="Times New Roman"/>
          <w:sz w:val="28"/>
          <w:szCs w:val="28"/>
        </w:rPr>
        <w:t>, и прочие диагностики</w:t>
      </w:r>
      <w:r w:rsidR="00E12E84" w:rsidRPr="002E5687">
        <w:rPr>
          <w:rFonts w:ascii="Times New Roman" w:hAnsi="Times New Roman" w:cs="Times New Roman"/>
          <w:sz w:val="28"/>
          <w:szCs w:val="28"/>
        </w:rPr>
        <w:t xml:space="preserve">. Метод, который предлагается в данной работе, помогает определить </w:t>
      </w:r>
      <w:r w:rsidR="00F274AB" w:rsidRPr="002E5687">
        <w:rPr>
          <w:rFonts w:ascii="Times New Roman" w:hAnsi="Times New Roman" w:cs="Times New Roman"/>
          <w:sz w:val="28"/>
          <w:szCs w:val="28"/>
        </w:rPr>
        <w:t>показатель</w:t>
      </w:r>
      <w:r w:rsidR="00E12E84" w:rsidRPr="002E5687">
        <w:rPr>
          <w:rFonts w:ascii="Times New Roman" w:hAnsi="Times New Roman" w:cs="Times New Roman"/>
          <w:sz w:val="28"/>
          <w:szCs w:val="28"/>
        </w:rPr>
        <w:t xml:space="preserve"> успеваемости класса, относительно каждо</w:t>
      </w:r>
      <w:r w:rsidR="00F274AB" w:rsidRPr="002E5687">
        <w:rPr>
          <w:rFonts w:ascii="Times New Roman" w:hAnsi="Times New Roman" w:cs="Times New Roman"/>
          <w:sz w:val="28"/>
          <w:szCs w:val="28"/>
        </w:rPr>
        <w:t>й темы и</w:t>
      </w:r>
      <w:r w:rsidR="00E12E84" w:rsidRPr="002E5687">
        <w:rPr>
          <w:rFonts w:ascii="Times New Roman" w:hAnsi="Times New Roman" w:cs="Times New Roman"/>
          <w:sz w:val="28"/>
          <w:szCs w:val="28"/>
        </w:rPr>
        <w:t xml:space="preserve"> </w:t>
      </w:r>
      <w:r w:rsidR="00F274AB" w:rsidRPr="002E5687">
        <w:rPr>
          <w:rFonts w:ascii="Times New Roman" w:hAnsi="Times New Roman" w:cs="Times New Roman"/>
          <w:sz w:val="28"/>
          <w:szCs w:val="28"/>
        </w:rPr>
        <w:t xml:space="preserve">всех </w:t>
      </w:r>
      <w:r w:rsidR="00E12E84" w:rsidRPr="002E5687">
        <w:rPr>
          <w:rFonts w:ascii="Times New Roman" w:hAnsi="Times New Roman" w:cs="Times New Roman"/>
          <w:sz w:val="28"/>
          <w:szCs w:val="28"/>
        </w:rPr>
        <w:t>уровн</w:t>
      </w:r>
      <w:r w:rsidR="00F274AB" w:rsidRPr="002E5687">
        <w:rPr>
          <w:rFonts w:ascii="Times New Roman" w:hAnsi="Times New Roman" w:cs="Times New Roman"/>
          <w:sz w:val="28"/>
          <w:szCs w:val="28"/>
        </w:rPr>
        <w:t>ей</w:t>
      </w:r>
      <w:r w:rsidR="00E12E84" w:rsidRPr="002E568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F274AB" w:rsidRPr="002E5687">
        <w:rPr>
          <w:rFonts w:ascii="Times New Roman" w:hAnsi="Times New Roman" w:cs="Times New Roman"/>
          <w:sz w:val="28"/>
          <w:szCs w:val="28"/>
        </w:rPr>
        <w:t xml:space="preserve"> по ней на фоне</w:t>
      </w:r>
      <w:r w:rsidR="00E12E84" w:rsidRPr="002E5687">
        <w:rPr>
          <w:rFonts w:ascii="Times New Roman" w:hAnsi="Times New Roman" w:cs="Times New Roman"/>
          <w:sz w:val="28"/>
          <w:szCs w:val="28"/>
        </w:rPr>
        <w:t xml:space="preserve"> общего тренда успеваемости класса по данному предмету. </w:t>
      </w:r>
    </w:p>
    <w:p w:rsidR="0099295F" w:rsidRPr="002E5687" w:rsidRDefault="0099295F" w:rsidP="00A14F99">
      <w:pPr>
        <w:pStyle w:val="1"/>
        <w:spacing w:line="360" w:lineRule="auto"/>
        <w:rPr>
          <w:rFonts w:ascii="Times New Roman" w:hAnsi="Times New Roman" w:cs="Times New Roman"/>
        </w:rPr>
      </w:pPr>
      <w:bookmarkStart w:id="2" w:name="_Toc422775997"/>
      <w:r w:rsidRPr="002E5687">
        <w:rPr>
          <w:rFonts w:ascii="Times New Roman" w:hAnsi="Times New Roman" w:cs="Times New Roman"/>
        </w:rPr>
        <w:t>Сбор данных</w:t>
      </w:r>
      <w:bookmarkEnd w:id="2"/>
    </w:p>
    <w:p w:rsidR="00687F02" w:rsidRPr="002E5687" w:rsidRDefault="004350B4" w:rsidP="00A14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ab/>
        <w:t xml:space="preserve">Оценка результатов работы происходит по итогам учебного года. </w:t>
      </w:r>
      <w:r w:rsidR="00687F02" w:rsidRPr="002E5687">
        <w:rPr>
          <w:rFonts w:ascii="Times New Roman" w:hAnsi="Times New Roman" w:cs="Times New Roman"/>
          <w:sz w:val="28"/>
          <w:szCs w:val="28"/>
        </w:rPr>
        <w:t>Для проведения несложных расчетов нам необходимы следующие данные по классу:</w:t>
      </w:r>
    </w:p>
    <w:p w:rsidR="00687F02" w:rsidRPr="002E5687" w:rsidRDefault="00687F02" w:rsidP="00A14F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 xml:space="preserve">Рабочая программа учителя по предмету по предмету </w:t>
      </w:r>
    </w:p>
    <w:p w:rsidR="00687F02" w:rsidRPr="002E5687" w:rsidRDefault="00687F02" w:rsidP="00A14F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>Данные об успеваемости по предмету на конец пр</w:t>
      </w:r>
      <w:r w:rsidR="004350B4" w:rsidRPr="002E5687">
        <w:rPr>
          <w:rFonts w:ascii="Times New Roman" w:hAnsi="Times New Roman" w:cs="Times New Roman"/>
          <w:sz w:val="28"/>
          <w:szCs w:val="28"/>
        </w:rPr>
        <w:t>едыдущего года</w:t>
      </w:r>
    </w:p>
    <w:p w:rsidR="004350B4" w:rsidRPr="002E5687" w:rsidRDefault="004350B4" w:rsidP="00A14F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>Данные оценок по всем самостоятельным и контрольным работам за текущий год.</w:t>
      </w:r>
    </w:p>
    <w:p w:rsidR="004350B4" w:rsidRPr="002E5687" w:rsidRDefault="004350B4" w:rsidP="00A14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 xml:space="preserve">В условиях современной школы введено требование сопровождения электронного дневника, в котором каждый учитель прописывает темы, согласно рабочей программе, и выставляются все оценки. Поэтому все необходимые для расчета данные могут быть экспортированы в виде электронных таблиц из  электронного дневника. Данные за предыдущий год там также представлены. </w:t>
      </w:r>
      <w:r w:rsidR="00B13CBC" w:rsidRPr="002E5687">
        <w:rPr>
          <w:rFonts w:ascii="Times New Roman" w:hAnsi="Times New Roman" w:cs="Times New Roman"/>
          <w:sz w:val="28"/>
          <w:szCs w:val="28"/>
        </w:rPr>
        <w:t>Итак,</w:t>
      </w:r>
      <w:r w:rsidRPr="002E5687">
        <w:rPr>
          <w:rFonts w:ascii="Times New Roman" w:hAnsi="Times New Roman" w:cs="Times New Roman"/>
          <w:sz w:val="28"/>
          <w:szCs w:val="28"/>
        </w:rPr>
        <w:t xml:space="preserve"> мы выгружаем все необходимые нам данные в электронные таблицы, а далее оптимизируем их для удобной работы.</w:t>
      </w:r>
    </w:p>
    <w:p w:rsidR="0099295F" w:rsidRPr="002E5687" w:rsidRDefault="0099295F" w:rsidP="00A14F99">
      <w:pPr>
        <w:pStyle w:val="1"/>
        <w:spacing w:line="360" w:lineRule="auto"/>
        <w:rPr>
          <w:rFonts w:ascii="Times New Roman" w:hAnsi="Times New Roman" w:cs="Times New Roman"/>
        </w:rPr>
      </w:pPr>
      <w:bookmarkStart w:id="3" w:name="_Toc422775998"/>
      <w:r w:rsidRPr="002E5687">
        <w:rPr>
          <w:rFonts w:ascii="Times New Roman" w:hAnsi="Times New Roman" w:cs="Times New Roman"/>
        </w:rPr>
        <w:lastRenderedPageBreak/>
        <w:t>Проведение расчёта и подготовка отчета</w:t>
      </w:r>
      <w:bookmarkEnd w:id="3"/>
    </w:p>
    <w:p w:rsidR="00CB03AC" w:rsidRPr="002E5687" w:rsidRDefault="00A14F99" w:rsidP="008921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>Для внесения данных необходимо построить Таблицу 1. В данно</w:t>
      </w:r>
      <w:r w:rsidR="00CB03AC" w:rsidRPr="002E5687">
        <w:rPr>
          <w:rFonts w:ascii="Times New Roman" w:hAnsi="Times New Roman" w:cs="Times New Roman"/>
          <w:sz w:val="28"/>
          <w:szCs w:val="28"/>
        </w:rPr>
        <w:t xml:space="preserve">й таблице вверху прописаны темы и указаны все самостоятельные и контрольные работы по каждой теме. </w:t>
      </w:r>
    </w:p>
    <w:p w:rsidR="00CB03AC" w:rsidRPr="002E5687" w:rsidRDefault="00CB03AC" w:rsidP="008921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>Для внесения в таблицу необходимо вычислить уровень качества – отношение суммы количества оценок без двоек и троек</w:t>
      </w:r>
      <w:r w:rsidR="00A14F99" w:rsidRPr="002E5687">
        <w:rPr>
          <w:rFonts w:ascii="Times New Roman" w:hAnsi="Times New Roman" w:cs="Times New Roman"/>
          <w:sz w:val="28"/>
          <w:szCs w:val="28"/>
        </w:rPr>
        <w:t xml:space="preserve"> </w:t>
      </w:r>
      <w:r w:rsidRPr="002E5687">
        <w:rPr>
          <w:rFonts w:ascii="Times New Roman" w:hAnsi="Times New Roman" w:cs="Times New Roman"/>
          <w:sz w:val="28"/>
          <w:szCs w:val="28"/>
        </w:rPr>
        <w:t>к общему числу учащихся класса. После этого необходимо рассчитать Средний показатель качества по каждой теме.</w:t>
      </w:r>
    </w:p>
    <w:p w:rsidR="00A14F99" w:rsidRPr="002E5687" w:rsidRDefault="00A14F99" w:rsidP="00CB03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1312"/>
        <w:gridCol w:w="1177"/>
        <w:gridCol w:w="1177"/>
        <w:gridCol w:w="1177"/>
        <w:gridCol w:w="993"/>
        <w:gridCol w:w="1458"/>
      </w:tblGrid>
      <w:tr w:rsidR="00A14F99" w:rsidRPr="002E5687" w:rsidTr="003D1E68">
        <w:trPr>
          <w:jc w:val="center"/>
        </w:trPr>
        <w:tc>
          <w:tcPr>
            <w:tcW w:w="1524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1255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86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</w:tr>
      <w:tr w:rsidR="00A14F99" w:rsidRPr="002E5687" w:rsidTr="003D1E68">
        <w:trPr>
          <w:jc w:val="center"/>
        </w:trPr>
        <w:tc>
          <w:tcPr>
            <w:tcW w:w="1524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1</w:t>
            </w:r>
          </w:p>
        </w:tc>
        <w:tc>
          <w:tcPr>
            <w:tcW w:w="119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99" w:rsidRPr="002E5687" w:rsidTr="003D1E68">
        <w:trPr>
          <w:jc w:val="center"/>
        </w:trPr>
        <w:tc>
          <w:tcPr>
            <w:tcW w:w="1524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2</w:t>
            </w:r>
          </w:p>
        </w:tc>
        <w:tc>
          <w:tcPr>
            <w:tcW w:w="119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99" w:rsidRPr="002E5687" w:rsidTr="003D1E68">
        <w:trPr>
          <w:jc w:val="center"/>
        </w:trPr>
        <w:tc>
          <w:tcPr>
            <w:tcW w:w="1524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3</w:t>
            </w:r>
          </w:p>
        </w:tc>
        <w:tc>
          <w:tcPr>
            <w:tcW w:w="119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99" w:rsidRPr="002E5687" w:rsidTr="003D1E68">
        <w:trPr>
          <w:jc w:val="center"/>
        </w:trPr>
        <w:tc>
          <w:tcPr>
            <w:tcW w:w="1524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Контрольная работа 1</w:t>
            </w:r>
          </w:p>
        </w:tc>
        <w:tc>
          <w:tcPr>
            <w:tcW w:w="119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99" w:rsidRPr="002E5687" w:rsidTr="003D1E68">
        <w:trPr>
          <w:jc w:val="center"/>
        </w:trPr>
        <w:tc>
          <w:tcPr>
            <w:tcW w:w="1524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sz w:val="28"/>
                <w:szCs w:val="28"/>
              </w:rPr>
              <w:t>Контрольная работа 2</w:t>
            </w:r>
          </w:p>
        </w:tc>
        <w:tc>
          <w:tcPr>
            <w:tcW w:w="119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A14F99" w:rsidRPr="002E5687" w:rsidRDefault="00A14F99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3AC" w:rsidRPr="002E5687" w:rsidTr="003D1E68">
        <w:trPr>
          <w:jc w:val="center"/>
        </w:trPr>
        <w:tc>
          <w:tcPr>
            <w:tcW w:w="1524" w:type="dxa"/>
          </w:tcPr>
          <w:p w:rsidR="00CB03AC" w:rsidRPr="002E5687" w:rsidRDefault="00CB03AC" w:rsidP="00CB03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68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показатель качества знаний</w:t>
            </w:r>
          </w:p>
        </w:tc>
        <w:tc>
          <w:tcPr>
            <w:tcW w:w="1199" w:type="dxa"/>
          </w:tcPr>
          <w:p w:rsidR="00CB03AC" w:rsidRPr="002E5687" w:rsidRDefault="00CB03AC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CB03AC" w:rsidRPr="002E5687" w:rsidRDefault="00CB03AC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CB03AC" w:rsidRPr="002E5687" w:rsidRDefault="00CB03AC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CB03AC" w:rsidRPr="002E5687" w:rsidRDefault="00CB03AC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CB03AC" w:rsidRPr="002E5687" w:rsidRDefault="00CB03AC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CB03AC" w:rsidRPr="002E5687" w:rsidRDefault="00CB03AC" w:rsidP="00A14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F99" w:rsidRPr="002E5687" w:rsidRDefault="00A14F99" w:rsidP="00CB0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3AC" w:rsidRPr="002E5687" w:rsidRDefault="00CB03AC" w:rsidP="008921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 xml:space="preserve">Для наглядности нашего отчета строим график, на котором показываем Средний показатель качества знаний по каждой теме. Но для того, чтобы </w:t>
      </w:r>
      <w:r w:rsidRPr="002E5687">
        <w:rPr>
          <w:rFonts w:ascii="Times New Roman" w:hAnsi="Times New Roman" w:cs="Times New Roman"/>
          <w:sz w:val="28"/>
          <w:szCs w:val="28"/>
        </w:rPr>
        <w:lastRenderedPageBreak/>
        <w:t xml:space="preserve">данный график был более информативным, необходимо добавить линию тренда успеваемости класса в целом по данному предмету. </w:t>
      </w:r>
    </w:p>
    <w:p w:rsidR="00E62DAC" w:rsidRPr="002E5687" w:rsidRDefault="00E62DAC" w:rsidP="00CB0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>Для построения этой линии нужно рассчитать уровень качества знаний на конец предыдущего года обучения и уровень качества по итогам данного учебного года – эти значения соединить линией.</w:t>
      </w:r>
    </w:p>
    <w:p w:rsidR="00E62DAC" w:rsidRPr="002E5687" w:rsidRDefault="00E62DAC" w:rsidP="00E62DAC">
      <w:pPr>
        <w:pStyle w:val="1"/>
        <w:rPr>
          <w:rFonts w:ascii="Times New Roman" w:hAnsi="Times New Roman" w:cs="Times New Roman"/>
        </w:rPr>
      </w:pPr>
      <w:bookmarkStart w:id="4" w:name="_Toc422775999"/>
      <w:bookmarkStart w:id="5" w:name="_GoBack"/>
      <w:bookmarkEnd w:id="5"/>
      <w:r w:rsidRPr="002E5687">
        <w:rPr>
          <w:rFonts w:ascii="Times New Roman" w:hAnsi="Times New Roman" w:cs="Times New Roman"/>
        </w:rPr>
        <w:t>Пример расчета</w:t>
      </w:r>
      <w:bookmarkEnd w:id="4"/>
    </w:p>
    <w:p w:rsidR="00E62DAC" w:rsidRPr="002E5687" w:rsidRDefault="00E62DAC" w:rsidP="00E62DAC">
      <w:pPr>
        <w:rPr>
          <w:rFonts w:ascii="Times New Roman" w:hAnsi="Times New Roman" w:cs="Times New Roman"/>
          <w:sz w:val="28"/>
          <w:szCs w:val="28"/>
        </w:rPr>
      </w:pPr>
    </w:p>
    <w:p w:rsidR="00E62DAC" w:rsidRPr="002E5687" w:rsidRDefault="00E62DAC" w:rsidP="00E6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>Рассмотрим построение такого отчета на примере успеваемости 8 класса.</w:t>
      </w:r>
    </w:p>
    <w:tbl>
      <w:tblPr>
        <w:tblW w:w="9513" w:type="dxa"/>
        <w:jc w:val="center"/>
        <w:tblInd w:w="93" w:type="dxa"/>
        <w:tblLook w:val="04A0" w:firstRow="1" w:lastRow="0" w:firstColumn="1" w:lastColumn="0" w:noHBand="0" w:noVBand="1"/>
      </w:tblPr>
      <w:tblGrid>
        <w:gridCol w:w="3134"/>
        <w:gridCol w:w="776"/>
        <w:gridCol w:w="1384"/>
        <w:gridCol w:w="851"/>
        <w:gridCol w:w="850"/>
        <w:gridCol w:w="851"/>
        <w:gridCol w:w="850"/>
        <w:gridCol w:w="993"/>
      </w:tblGrid>
      <w:tr w:rsidR="00E62DAC" w:rsidRPr="002E5687" w:rsidTr="003D1E68">
        <w:trPr>
          <w:trHeight w:val="33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8Б класс 2013-2014 уч. г.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Алгебра 8 класс (Мордкович)</w:t>
            </w:r>
          </w:p>
        </w:tc>
      </w:tr>
      <w:tr w:rsidR="003D1E68" w:rsidRPr="002E5687" w:rsidTr="003D1E68">
        <w:trPr>
          <w:trHeight w:val="235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 качества знаний по темам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Алгебраические дроби. Операции над алгебраическими дробями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Функция. Свойства квадратного корня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Квадратичная функция. Функция </w:t>
            </w:r>
            <w:proofErr w:type="gramStart"/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=к/x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Квадратные уравнения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Неравенства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62DAC" w:rsidRPr="002E5687" w:rsidRDefault="003D1E68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1E68" w:rsidRPr="002E5687" w:rsidTr="003D1E68">
        <w:trPr>
          <w:trHeight w:val="3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62DAC" w:rsidRPr="002E5687" w:rsidTr="003D1E68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2DAC" w:rsidRPr="002E5687" w:rsidTr="003D1E68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2DAC" w:rsidRPr="002E5687" w:rsidTr="003D1E68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2DAC" w:rsidRPr="002E5687" w:rsidTr="003D1E68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</w:tr>
      <w:tr w:rsidR="00E62DAC" w:rsidRPr="002E5687" w:rsidTr="003D1E68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2DAC" w:rsidRPr="002E5687" w:rsidTr="003D1E68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показатель качества знаний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44%</w:t>
            </w:r>
          </w:p>
        </w:tc>
      </w:tr>
      <w:tr w:rsidR="00E62DAC" w:rsidRPr="002E5687" w:rsidTr="003D1E68">
        <w:trPr>
          <w:trHeight w:val="300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класса в целом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AC" w:rsidRPr="002E5687" w:rsidRDefault="00E62DAC" w:rsidP="00E6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54%</w:t>
            </w:r>
          </w:p>
        </w:tc>
      </w:tr>
    </w:tbl>
    <w:p w:rsidR="00E62DAC" w:rsidRPr="002E5687" w:rsidRDefault="00E62DAC" w:rsidP="00E6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E68" w:rsidRPr="002E5687" w:rsidRDefault="003D1E68" w:rsidP="003D1E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6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A4E185" wp14:editId="356C67A2">
            <wp:extent cx="5114925" cy="27432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1E68" w:rsidRPr="00E62DAC" w:rsidRDefault="003D1E68" w:rsidP="003D1E6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543C45A" wp14:editId="2C65B657">
            <wp:extent cx="6152515" cy="2560320"/>
            <wp:effectExtent l="0" t="0" r="1968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3D1E68" w:rsidRPr="00E62DAC" w:rsidSect="002E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642"/>
    <w:multiLevelType w:val="hybridMultilevel"/>
    <w:tmpl w:val="CCC417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5F"/>
    <w:rsid w:val="0012461F"/>
    <w:rsid w:val="00261495"/>
    <w:rsid w:val="002E5687"/>
    <w:rsid w:val="003D1E68"/>
    <w:rsid w:val="004350B4"/>
    <w:rsid w:val="00687F02"/>
    <w:rsid w:val="006918FC"/>
    <w:rsid w:val="00892101"/>
    <w:rsid w:val="008E3737"/>
    <w:rsid w:val="0099295F"/>
    <w:rsid w:val="009F6CBE"/>
    <w:rsid w:val="00A14F99"/>
    <w:rsid w:val="00AA2702"/>
    <w:rsid w:val="00B13CBC"/>
    <w:rsid w:val="00B30268"/>
    <w:rsid w:val="00C51B67"/>
    <w:rsid w:val="00CB03AC"/>
    <w:rsid w:val="00E12E84"/>
    <w:rsid w:val="00E62DAC"/>
    <w:rsid w:val="00F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350B4"/>
    <w:pPr>
      <w:ind w:left="720"/>
      <w:contextualSpacing/>
    </w:pPr>
  </w:style>
  <w:style w:type="table" w:styleId="a4">
    <w:name w:val="Table Grid"/>
    <w:basedOn w:val="a1"/>
    <w:uiPriority w:val="59"/>
    <w:rsid w:val="00A1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E68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2E568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5687"/>
    <w:pPr>
      <w:spacing w:after="100"/>
    </w:pPr>
  </w:style>
  <w:style w:type="character" w:styleId="a8">
    <w:name w:val="Hyperlink"/>
    <w:basedOn w:val="a0"/>
    <w:uiPriority w:val="99"/>
    <w:unhideWhenUsed/>
    <w:rsid w:val="002E5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350B4"/>
    <w:pPr>
      <w:ind w:left="720"/>
      <w:contextualSpacing/>
    </w:pPr>
  </w:style>
  <w:style w:type="table" w:styleId="a4">
    <w:name w:val="Table Grid"/>
    <w:basedOn w:val="a1"/>
    <w:uiPriority w:val="59"/>
    <w:rsid w:val="00A1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E68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2E568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5687"/>
    <w:pPr>
      <w:spacing w:after="100"/>
    </w:pPr>
  </w:style>
  <w:style w:type="character" w:styleId="a8">
    <w:name w:val="Hyperlink"/>
    <w:basedOn w:val="a0"/>
    <w:uiPriority w:val="99"/>
    <w:unhideWhenUsed/>
    <w:rsid w:val="002E5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91;&#1089;&#1103;\Desktop\&#1057;&#1074;&#1086;&#1076;&#1085;&#1072;&#1103;%20&#1076;&#1080;&#1085;&#1072;&#1084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91;&#1089;&#1103;\Desktop\&#1057;&#1074;&#1086;&#1076;&#1085;&#1072;&#1103;%20&#1076;&#1080;&#1085;&#1072;&#1084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8</a:t>
            </a:r>
            <a:r>
              <a:rPr lang="ru-RU" sz="1600"/>
              <a:t>б</a:t>
            </a:r>
            <a:r>
              <a:rPr lang="ru-RU" sz="1600" baseline="0"/>
              <a:t> класс 2013-2014 уч.г.</a:t>
            </a:r>
            <a:endParaRPr lang="en-US" sz="1600"/>
          </a:p>
          <a:p>
            <a:pPr>
              <a:defRPr/>
            </a:pPr>
            <a:r>
              <a:rPr lang="ru-RU" sz="1600"/>
              <a:t>Средний показатель качества знаний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'Динамика таблица'!$B$10</c:f>
              <c:strCache>
                <c:ptCount val="1"/>
                <c:pt idx="0">
                  <c:v>Средний показатель качества знаний</c:v>
                </c:pt>
              </c:strCache>
            </c:strRef>
          </c:tx>
          <c:dLbls>
            <c:dLbl>
              <c:idx val="0"/>
              <c:layout>
                <c:manualLayout>
                  <c:x val="-3.5353535353535352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45454545454545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929292929292928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404040404040407E-2"/>
                  <c:y val="-6.018518518518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454545454545546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2727272727263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8787878787878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'Динамика таблица'!$C$10:$I$10</c:f>
              <c:numCache>
                <c:formatCode>0%</c:formatCode>
                <c:ptCount val="7"/>
                <c:pt idx="0">
                  <c:v>0.44</c:v>
                </c:pt>
                <c:pt idx="1">
                  <c:v>0.44</c:v>
                </c:pt>
                <c:pt idx="2">
                  <c:v>0.56666666666666676</c:v>
                </c:pt>
                <c:pt idx="3">
                  <c:v>0.43600000000000005</c:v>
                </c:pt>
                <c:pt idx="4">
                  <c:v>0.58000000000000007</c:v>
                </c:pt>
                <c:pt idx="5">
                  <c:v>0.47666666666666674</c:v>
                </c:pt>
                <c:pt idx="6">
                  <c:v>0.44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687360"/>
        <c:axId val="70730112"/>
      </c:lineChart>
      <c:catAx>
        <c:axId val="7068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70730112"/>
        <c:crosses val="autoZero"/>
        <c:auto val="1"/>
        <c:lblAlgn val="ctr"/>
        <c:lblOffset val="100"/>
        <c:noMultiLvlLbl val="0"/>
      </c:catAx>
      <c:valAx>
        <c:axId val="70730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0687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'Динамика таблица'!$B$10</c:f>
              <c:strCache>
                <c:ptCount val="1"/>
                <c:pt idx="0">
                  <c:v>Средний показатель качества знаний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'Динамика таблица'!$C$10:$I$10</c:f>
              <c:numCache>
                <c:formatCode>0%</c:formatCode>
                <c:ptCount val="7"/>
                <c:pt idx="0">
                  <c:v>0.44</c:v>
                </c:pt>
                <c:pt idx="1">
                  <c:v>0.44</c:v>
                </c:pt>
                <c:pt idx="2">
                  <c:v>0.56666666666666676</c:v>
                </c:pt>
                <c:pt idx="3">
                  <c:v>0.43600000000000005</c:v>
                </c:pt>
                <c:pt idx="4">
                  <c:v>0.58000000000000007</c:v>
                </c:pt>
                <c:pt idx="5">
                  <c:v>0.47666666666666674</c:v>
                </c:pt>
                <c:pt idx="6">
                  <c:v>0.44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'Динамика таблица'!$B$11</c:f>
              <c:strCache>
                <c:ptCount val="1"/>
                <c:pt idx="0">
                  <c:v>Уровень класса в целом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val>
            <c:numRef>
              <c:f>'Динамика таблица'!$C$11:$I$11</c:f>
              <c:numCache>
                <c:formatCode>General</c:formatCode>
                <c:ptCount val="7"/>
                <c:pt idx="0" formatCode="0%">
                  <c:v>0.51</c:v>
                </c:pt>
                <c:pt idx="6" formatCode="0%">
                  <c:v>0.54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513856"/>
        <c:axId val="79515648"/>
      </c:lineChart>
      <c:catAx>
        <c:axId val="7951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9515648"/>
        <c:crosses val="autoZero"/>
        <c:auto val="1"/>
        <c:lblAlgn val="ctr"/>
        <c:lblOffset val="100"/>
        <c:noMultiLvlLbl val="0"/>
      </c:catAx>
      <c:valAx>
        <c:axId val="79515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513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7261-6E80-4A96-B28B-9EEEDAAE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Туся</cp:lastModifiedBy>
  <cp:revision>13</cp:revision>
  <dcterms:created xsi:type="dcterms:W3CDTF">2015-06-16T07:26:00Z</dcterms:created>
  <dcterms:modified xsi:type="dcterms:W3CDTF">2015-06-22T19:38:00Z</dcterms:modified>
</cp:coreProperties>
</file>