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F3" w:rsidRPr="00756A98" w:rsidRDefault="007B337E" w:rsidP="006B7A93">
      <w:pPr>
        <w:spacing w:after="0" w:line="240" w:lineRule="auto"/>
        <w:jc w:val="right"/>
        <w:rPr>
          <w:rFonts w:ascii="Times New Roman" w:eastAsia="Times New Roman" w:hAnsi="Times New Roman" w:cs="Times New Roman"/>
          <w:sz w:val="28"/>
          <w:szCs w:val="28"/>
        </w:rPr>
      </w:pPr>
      <w:proofErr w:type="spellStart"/>
      <w:r w:rsidRPr="00756A98">
        <w:rPr>
          <w:rFonts w:ascii="Times New Roman" w:eastAsia="Times New Roman" w:hAnsi="Times New Roman" w:cs="Times New Roman"/>
          <w:sz w:val="28"/>
          <w:szCs w:val="28"/>
        </w:rPr>
        <w:t>Д.Н.Моисеева</w:t>
      </w:r>
      <w:proofErr w:type="spellEnd"/>
      <w:r w:rsidRPr="00756A98">
        <w:rPr>
          <w:rFonts w:ascii="Times New Roman" w:eastAsia="Times New Roman" w:hAnsi="Times New Roman" w:cs="Times New Roman"/>
          <w:sz w:val="28"/>
          <w:szCs w:val="28"/>
        </w:rPr>
        <w:t xml:space="preserve">, </w:t>
      </w:r>
      <w:bookmarkStart w:id="0" w:name="_GoBack"/>
      <w:bookmarkEnd w:id="0"/>
      <w:proofErr w:type="spellStart"/>
      <w:r w:rsidR="002746F2" w:rsidRPr="00756A98">
        <w:rPr>
          <w:rFonts w:ascii="Times New Roman" w:eastAsia="Times New Roman" w:hAnsi="Times New Roman" w:cs="Times New Roman"/>
          <w:sz w:val="28"/>
          <w:szCs w:val="28"/>
        </w:rPr>
        <w:t>г</w:t>
      </w:r>
      <w:r w:rsidRPr="00756A98">
        <w:rPr>
          <w:rFonts w:ascii="Times New Roman" w:eastAsia="Times New Roman" w:hAnsi="Times New Roman" w:cs="Times New Roman"/>
          <w:sz w:val="28"/>
          <w:szCs w:val="28"/>
        </w:rPr>
        <w:t>.Ульяновск</w:t>
      </w:r>
      <w:proofErr w:type="spellEnd"/>
      <w:r w:rsidR="009672F3" w:rsidRPr="00756A98">
        <w:rPr>
          <w:rFonts w:ascii="Times New Roman" w:eastAsia="Times New Roman" w:hAnsi="Times New Roman" w:cs="Times New Roman"/>
          <w:sz w:val="28"/>
          <w:szCs w:val="28"/>
        </w:rPr>
        <w:br w:type="textWrapping" w:clear="all"/>
      </w:r>
    </w:p>
    <w:p w:rsidR="009672F3" w:rsidRPr="00756A98" w:rsidRDefault="009672F3" w:rsidP="00756A9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756A98">
        <w:rPr>
          <w:rFonts w:ascii="Times New Roman" w:eastAsia="Times New Roman" w:hAnsi="Times New Roman" w:cs="Times New Roman"/>
          <w:b/>
          <w:bCs/>
          <w:kern w:val="36"/>
          <w:sz w:val="28"/>
          <w:szCs w:val="28"/>
        </w:rPr>
        <w:t>Ф</w:t>
      </w:r>
      <w:r w:rsidR="00756A98">
        <w:rPr>
          <w:rFonts w:ascii="Times New Roman" w:eastAsia="Times New Roman" w:hAnsi="Times New Roman" w:cs="Times New Roman"/>
          <w:b/>
          <w:bCs/>
          <w:kern w:val="36"/>
          <w:sz w:val="28"/>
          <w:szCs w:val="28"/>
        </w:rPr>
        <w:t xml:space="preserve">ИЗИЧЕСКИЙ ЭКСПЕРИМЕНТ КАК СРЕДСТВО ФОРМИРОВАНИЯ УМЕНИЙ И НАВЫКОВ </w:t>
      </w:r>
      <w:proofErr w:type="gramStart"/>
      <w:r w:rsidR="00756A98">
        <w:rPr>
          <w:rFonts w:ascii="Times New Roman" w:eastAsia="Times New Roman" w:hAnsi="Times New Roman" w:cs="Times New Roman"/>
          <w:b/>
          <w:bCs/>
          <w:kern w:val="36"/>
          <w:sz w:val="28"/>
          <w:szCs w:val="28"/>
        </w:rPr>
        <w:t>У</w:t>
      </w:r>
      <w:proofErr w:type="gramEnd"/>
      <w:r w:rsidR="00756A98">
        <w:rPr>
          <w:rFonts w:ascii="Times New Roman" w:eastAsia="Times New Roman" w:hAnsi="Times New Roman" w:cs="Times New Roman"/>
          <w:b/>
          <w:bCs/>
          <w:kern w:val="36"/>
          <w:sz w:val="28"/>
          <w:szCs w:val="28"/>
        </w:rPr>
        <w:t xml:space="preserve"> ОБУЧАЕМЫХ ПО ФИЗИКЕ</w:t>
      </w:r>
    </w:p>
    <w:p w:rsidR="009672F3" w:rsidRPr="00756A98" w:rsidRDefault="009672F3" w:rsidP="00756A98">
      <w:pPr>
        <w:spacing w:line="240" w:lineRule="auto"/>
        <w:ind w:firstLine="709"/>
        <w:jc w:val="both"/>
        <w:rPr>
          <w:rFonts w:ascii="Times New Roman" w:hAnsi="Times New Roman" w:cs="Times New Roman"/>
          <w:sz w:val="28"/>
          <w:szCs w:val="28"/>
        </w:rPr>
      </w:pPr>
      <w:proofErr w:type="gramStart"/>
      <w:r w:rsidRPr="00756A98">
        <w:rPr>
          <w:rFonts w:ascii="Times New Roman" w:hAnsi="Times New Roman" w:cs="Times New Roman"/>
          <w:sz w:val="28"/>
          <w:szCs w:val="28"/>
        </w:rPr>
        <w:t>Важное место в формировании практиче</w:t>
      </w:r>
      <w:r w:rsidR="002746F2" w:rsidRPr="00756A98">
        <w:rPr>
          <w:rFonts w:ascii="Times New Roman" w:hAnsi="Times New Roman" w:cs="Times New Roman"/>
          <w:sz w:val="28"/>
          <w:szCs w:val="28"/>
        </w:rPr>
        <w:t>ских умений и навыков у обучаемых при изучении</w:t>
      </w:r>
      <w:r w:rsidRPr="00756A98">
        <w:rPr>
          <w:rFonts w:ascii="Times New Roman" w:hAnsi="Times New Roman" w:cs="Times New Roman"/>
          <w:sz w:val="28"/>
          <w:szCs w:val="28"/>
        </w:rPr>
        <w:t xml:space="preserve"> физики</w:t>
      </w:r>
      <w:r w:rsidR="002746F2" w:rsidRPr="00756A98">
        <w:rPr>
          <w:rFonts w:ascii="Times New Roman" w:hAnsi="Times New Roman" w:cs="Times New Roman"/>
          <w:sz w:val="28"/>
          <w:szCs w:val="28"/>
        </w:rPr>
        <w:t xml:space="preserve"> </w:t>
      </w:r>
      <w:r w:rsidRPr="00756A98">
        <w:rPr>
          <w:rFonts w:ascii="Times New Roman" w:hAnsi="Times New Roman" w:cs="Times New Roman"/>
          <w:sz w:val="28"/>
          <w:szCs w:val="28"/>
        </w:rPr>
        <w:t>отводится демонстрационному эксперименту</w:t>
      </w:r>
      <w:r w:rsidR="002746F2" w:rsidRPr="00756A98">
        <w:rPr>
          <w:rFonts w:ascii="Times New Roman" w:hAnsi="Times New Roman" w:cs="Times New Roman"/>
          <w:sz w:val="28"/>
          <w:szCs w:val="28"/>
        </w:rPr>
        <w:t xml:space="preserve"> и  лабораторным работам.</w:t>
      </w:r>
      <w:proofErr w:type="gramEnd"/>
      <w:r w:rsidR="002746F2" w:rsidRPr="00756A98">
        <w:rPr>
          <w:rFonts w:ascii="Times New Roman" w:hAnsi="Times New Roman" w:cs="Times New Roman"/>
          <w:sz w:val="28"/>
          <w:szCs w:val="28"/>
        </w:rPr>
        <w:t xml:space="preserve"> </w:t>
      </w:r>
      <w:r w:rsidRPr="00756A98">
        <w:rPr>
          <w:rFonts w:ascii="Times New Roman" w:hAnsi="Times New Roman" w:cs="Times New Roman"/>
          <w:sz w:val="28"/>
          <w:szCs w:val="28"/>
        </w:rPr>
        <w:t>Физический эксперимент на уроках физики формирует у учащихся накопленные ранее представления о физических явлениях и процессах, пополня</w:t>
      </w:r>
      <w:r w:rsidR="002746F2" w:rsidRPr="00756A98">
        <w:rPr>
          <w:rFonts w:ascii="Times New Roman" w:hAnsi="Times New Roman" w:cs="Times New Roman"/>
          <w:sz w:val="28"/>
          <w:szCs w:val="28"/>
        </w:rPr>
        <w:t>ет и расширяет кругозор</w:t>
      </w:r>
      <w:r w:rsidRPr="00756A98">
        <w:rPr>
          <w:rFonts w:ascii="Times New Roman" w:hAnsi="Times New Roman" w:cs="Times New Roman"/>
          <w:sz w:val="28"/>
          <w:szCs w:val="28"/>
        </w:rPr>
        <w:t>. В ходе экс</w:t>
      </w:r>
      <w:r w:rsidR="002746F2" w:rsidRPr="00756A98">
        <w:rPr>
          <w:rFonts w:ascii="Times New Roman" w:hAnsi="Times New Roman" w:cs="Times New Roman"/>
          <w:sz w:val="28"/>
          <w:szCs w:val="28"/>
        </w:rPr>
        <w:t>перимента, проводимого обучаемыми</w:t>
      </w:r>
      <w:r w:rsidRPr="00756A98">
        <w:rPr>
          <w:rFonts w:ascii="Times New Roman" w:hAnsi="Times New Roman" w:cs="Times New Roman"/>
          <w:sz w:val="28"/>
          <w:szCs w:val="28"/>
        </w:rPr>
        <w:t xml:space="preserve"> самостоятельно во время лабораторных работ, они познают закономерности физических явлений, знакомятся с методами их исследования, учатся работать с физическими приборами и установками, то есть учатся самостоятельно добывать знания на практике.</w:t>
      </w:r>
    </w:p>
    <w:p w:rsidR="002746F2" w:rsidRPr="00756A98" w:rsidRDefault="002746F2" w:rsidP="00756A98">
      <w:pPr>
        <w:spacing w:line="240" w:lineRule="auto"/>
        <w:ind w:firstLine="709"/>
        <w:jc w:val="both"/>
        <w:rPr>
          <w:rFonts w:ascii="Times New Roman" w:hAnsi="Times New Roman" w:cs="Times New Roman"/>
          <w:sz w:val="28"/>
          <w:szCs w:val="28"/>
        </w:rPr>
      </w:pPr>
      <w:r w:rsidRPr="00756A98">
        <w:rPr>
          <w:rFonts w:ascii="Times New Roman" w:hAnsi="Times New Roman" w:cs="Times New Roman"/>
          <w:sz w:val="28"/>
          <w:szCs w:val="28"/>
        </w:rPr>
        <w:t>Например, интересной экспериментальной задачей является исследование основных параметров полупроводниковых приборов, светодиодов (СИД).</w:t>
      </w:r>
    </w:p>
    <w:p w:rsidR="002746F2" w:rsidRPr="00756A98" w:rsidRDefault="002746F2" w:rsidP="00756A98">
      <w:pPr>
        <w:tabs>
          <w:tab w:val="left" w:pos="567"/>
        </w:tabs>
        <w:spacing w:line="240" w:lineRule="auto"/>
        <w:ind w:firstLine="709"/>
        <w:jc w:val="both"/>
        <w:rPr>
          <w:rFonts w:ascii="Times New Roman" w:hAnsi="Times New Roman" w:cs="Times New Roman"/>
          <w:sz w:val="28"/>
          <w:szCs w:val="28"/>
        </w:rPr>
      </w:pPr>
      <w:r w:rsidRPr="00756A98">
        <w:rPr>
          <w:rFonts w:ascii="Times New Roman" w:hAnsi="Times New Roman" w:cs="Times New Roman"/>
          <w:sz w:val="28"/>
          <w:szCs w:val="28"/>
        </w:rPr>
        <w:t>Параметры СИД как элемента цепи определяется его вольт-амперной характеристикой (ВАХ). В качестве источников излучения в исследованиях используются светоизлучающие диоды (АЛ307АМ, АЛ102АМ, КИПМ01В).</w:t>
      </w:r>
    </w:p>
    <w:p w:rsidR="002746F2" w:rsidRPr="00756A98" w:rsidRDefault="002746F2" w:rsidP="00756A98">
      <w:pPr>
        <w:spacing w:line="240" w:lineRule="auto"/>
        <w:ind w:firstLine="709"/>
        <w:jc w:val="both"/>
        <w:rPr>
          <w:rFonts w:ascii="Times New Roman" w:hAnsi="Times New Roman" w:cs="Times New Roman"/>
          <w:sz w:val="28"/>
          <w:szCs w:val="28"/>
        </w:rPr>
      </w:pPr>
      <w:r w:rsidRPr="00756A98">
        <w:rPr>
          <w:rFonts w:ascii="Times New Roman" w:hAnsi="Times New Roman" w:cs="Times New Roman"/>
          <w:sz w:val="28"/>
          <w:szCs w:val="28"/>
        </w:rPr>
        <w:t>Практический интерес представляет исследование ВАХ в прямом направлении. Экспериментальные результаты представлены на рис.1</w:t>
      </w:r>
      <w:r w:rsidR="00947FF2" w:rsidRPr="00756A98">
        <w:rPr>
          <w:rFonts w:ascii="Times New Roman" w:hAnsi="Times New Roman" w:cs="Times New Roman"/>
          <w:sz w:val="28"/>
          <w:szCs w:val="28"/>
        </w:rPr>
        <w:t>.</w:t>
      </w:r>
    </w:p>
    <w:p w:rsidR="004D5C00" w:rsidRPr="00756A98" w:rsidRDefault="004D5C00" w:rsidP="00756A98">
      <w:pPr>
        <w:spacing w:line="240" w:lineRule="auto"/>
        <w:ind w:firstLine="709"/>
        <w:jc w:val="both"/>
        <w:rPr>
          <w:rFonts w:ascii="Times New Roman" w:hAnsi="Times New Roman" w:cs="Times New Roman"/>
          <w:sz w:val="28"/>
          <w:szCs w:val="28"/>
        </w:rPr>
      </w:pPr>
      <w:r w:rsidRPr="00756A98">
        <w:rPr>
          <w:rFonts w:ascii="Times New Roman" w:hAnsi="Times New Roman" w:cs="Times New Roman"/>
          <w:sz w:val="28"/>
          <w:szCs w:val="28"/>
        </w:rPr>
        <w:t xml:space="preserve">По графику зависимости </w:t>
      </w:r>
      <w:r w:rsidRPr="00756A98">
        <w:rPr>
          <w:rFonts w:ascii="Times New Roman" w:hAnsi="Times New Roman" w:cs="Times New Roman"/>
          <w:i/>
          <w:sz w:val="28"/>
          <w:szCs w:val="28"/>
          <w:lang w:val="en-US"/>
        </w:rPr>
        <w:t>I</w:t>
      </w:r>
      <w:r w:rsidRPr="00756A98">
        <w:rPr>
          <w:rFonts w:ascii="Times New Roman" w:hAnsi="Times New Roman" w:cs="Times New Roman"/>
          <w:i/>
          <w:sz w:val="28"/>
          <w:szCs w:val="28"/>
        </w:rPr>
        <w:t>=</w:t>
      </w:r>
      <w:r w:rsidRPr="00756A98">
        <w:rPr>
          <w:rFonts w:ascii="Times New Roman" w:hAnsi="Times New Roman" w:cs="Times New Roman"/>
          <w:i/>
          <w:sz w:val="28"/>
          <w:szCs w:val="28"/>
          <w:lang w:val="en-US"/>
        </w:rPr>
        <w:t>f</w:t>
      </w:r>
      <w:r w:rsidRPr="00756A98">
        <w:rPr>
          <w:rFonts w:ascii="Times New Roman" w:hAnsi="Times New Roman" w:cs="Times New Roman"/>
          <w:i/>
          <w:sz w:val="28"/>
          <w:szCs w:val="28"/>
        </w:rPr>
        <w:t>(</w:t>
      </w:r>
      <w:r w:rsidRPr="00756A98">
        <w:rPr>
          <w:rFonts w:ascii="Times New Roman" w:hAnsi="Times New Roman" w:cs="Times New Roman"/>
          <w:i/>
          <w:sz w:val="28"/>
          <w:szCs w:val="28"/>
          <w:lang w:val="en-US"/>
        </w:rPr>
        <w:t>U</w:t>
      </w:r>
      <w:r w:rsidRPr="00756A98">
        <w:rPr>
          <w:rFonts w:ascii="Times New Roman" w:hAnsi="Times New Roman" w:cs="Times New Roman"/>
          <w:i/>
          <w:sz w:val="28"/>
          <w:szCs w:val="28"/>
        </w:rPr>
        <w:t>)</w:t>
      </w:r>
      <w:r w:rsidRPr="00756A98">
        <w:rPr>
          <w:rFonts w:ascii="Times New Roman" w:hAnsi="Times New Roman" w:cs="Times New Roman"/>
          <w:sz w:val="28"/>
          <w:szCs w:val="28"/>
        </w:rPr>
        <w:t xml:space="preserve"> СИД можно сделать следующие выводы. Если к светодиоду подано прямое смещение, то величина потенциального барьера снижается на </w:t>
      </w:r>
      <w:r w:rsidRPr="00756A98">
        <w:rPr>
          <w:rFonts w:ascii="Times New Roman" w:hAnsi="Times New Roman" w:cs="Times New Roman"/>
          <w:i/>
          <w:sz w:val="28"/>
          <w:szCs w:val="28"/>
          <w:lang w:val="en-US"/>
        </w:rPr>
        <w:t>q</w:t>
      </w:r>
      <w:r w:rsidRPr="00756A98">
        <w:rPr>
          <w:rFonts w:ascii="Times New Roman" w:hAnsi="Times New Roman" w:cs="Times New Roman"/>
          <w:i/>
          <w:sz w:val="28"/>
          <w:szCs w:val="28"/>
          <w:vertAlign w:val="subscript"/>
        </w:rPr>
        <w:t>0</w:t>
      </w:r>
      <w:r w:rsidRPr="00756A98">
        <w:rPr>
          <w:rFonts w:ascii="Times New Roman" w:hAnsi="Times New Roman" w:cs="Times New Roman"/>
          <w:i/>
          <w:sz w:val="28"/>
          <w:szCs w:val="28"/>
          <w:lang w:val="en-US"/>
        </w:rPr>
        <w:t>U</w:t>
      </w:r>
      <w:r w:rsidRPr="00756A98">
        <w:rPr>
          <w:rFonts w:ascii="Times New Roman" w:hAnsi="Times New Roman" w:cs="Times New Roman"/>
          <w:sz w:val="28"/>
          <w:szCs w:val="28"/>
        </w:rPr>
        <w:t xml:space="preserve"> по сравнению с равновесным состоянием, возрастает ток основных носителей заряда. С увеличением прямого смещения концентрация инжектируемых неосновных носителей резко возрастает, что приводит к сильному росту тока через переход в прямом направлении. При </w:t>
      </w:r>
      <w:r w:rsidRPr="00756A98">
        <w:rPr>
          <w:rFonts w:ascii="Times New Roman" w:hAnsi="Times New Roman" w:cs="Times New Roman"/>
          <w:i/>
          <w:sz w:val="28"/>
          <w:szCs w:val="28"/>
          <w:lang w:val="en-US"/>
        </w:rPr>
        <w:t>U</w:t>
      </w:r>
      <w:r w:rsidRPr="00756A98">
        <w:rPr>
          <w:rFonts w:ascii="Times New Roman" w:hAnsi="Times New Roman" w:cs="Times New Roman"/>
          <w:i/>
          <w:sz w:val="28"/>
          <w:szCs w:val="28"/>
          <w:vertAlign w:val="subscript"/>
        </w:rPr>
        <w:t>0</w:t>
      </w:r>
      <w:r w:rsidRPr="00756A98">
        <w:rPr>
          <w:rFonts w:ascii="Times New Roman" w:hAnsi="Times New Roman" w:cs="Times New Roman"/>
          <w:i/>
          <w:sz w:val="28"/>
          <w:szCs w:val="28"/>
        </w:rPr>
        <w:t>=</w:t>
      </w:r>
      <w:proofErr w:type="spellStart"/>
      <w:r w:rsidRPr="00756A98">
        <w:rPr>
          <w:rFonts w:ascii="Times New Roman" w:hAnsi="Times New Roman" w:cs="Times New Roman"/>
          <w:i/>
          <w:sz w:val="28"/>
          <w:szCs w:val="28"/>
          <w:lang w:val="en-US"/>
        </w:rPr>
        <w:t>φ</w:t>
      </w:r>
      <w:r w:rsidRPr="00756A98">
        <w:rPr>
          <w:rFonts w:ascii="Times New Roman" w:hAnsi="Times New Roman" w:cs="Times New Roman"/>
          <w:i/>
          <w:sz w:val="28"/>
          <w:szCs w:val="28"/>
          <w:vertAlign w:val="subscript"/>
          <w:lang w:val="en-US"/>
        </w:rPr>
        <w:t>k</w:t>
      </w:r>
      <w:proofErr w:type="spellEnd"/>
      <w:r w:rsidRPr="00756A98">
        <w:rPr>
          <w:rFonts w:ascii="Times New Roman" w:hAnsi="Times New Roman" w:cs="Times New Roman"/>
          <w:sz w:val="28"/>
          <w:szCs w:val="28"/>
        </w:rPr>
        <w:t xml:space="preserve"> </w:t>
      </w:r>
      <w:r w:rsidR="002746F2" w:rsidRPr="00756A98">
        <w:rPr>
          <w:rFonts w:ascii="Times New Roman" w:hAnsi="Times New Roman" w:cs="Times New Roman"/>
          <w:sz w:val="28"/>
          <w:szCs w:val="28"/>
        </w:rPr>
        <w:t>(</w:t>
      </w:r>
      <w:proofErr w:type="spellStart"/>
      <w:r w:rsidR="002746F2" w:rsidRPr="00756A98">
        <w:rPr>
          <w:rFonts w:ascii="Times New Roman" w:hAnsi="Times New Roman" w:cs="Times New Roman"/>
          <w:i/>
          <w:sz w:val="28"/>
          <w:szCs w:val="28"/>
          <w:lang w:val="en-US"/>
        </w:rPr>
        <w:t>φ</w:t>
      </w:r>
      <w:r w:rsidR="002746F2" w:rsidRPr="00756A98">
        <w:rPr>
          <w:rFonts w:ascii="Times New Roman" w:hAnsi="Times New Roman" w:cs="Times New Roman"/>
          <w:i/>
          <w:sz w:val="28"/>
          <w:szCs w:val="28"/>
          <w:vertAlign w:val="subscript"/>
          <w:lang w:val="en-US"/>
        </w:rPr>
        <w:t>k</w:t>
      </w:r>
      <w:proofErr w:type="spellEnd"/>
      <w:r w:rsidR="002746F2" w:rsidRPr="00756A98">
        <w:rPr>
          <w:rFonts w:ascii="Times New Roman" w:hAnsi="Times New Roman" w:cs="Times New Roman"/>
          <w:sz w:val="28"/>
          <w:szCs w:val="28"/>
        </w:rPr>
        <w:t xml:space="preserve"> –контактная разность потенциалов)</w:t>
      </w:r>
      <w:r w:rsidR="00947FF2" w:rsidRPr="00756A98">
        <w:rPr>
          <w:rFonts w:ascii="Times New Roman" w:hAnsi="Times New Roman" w:cs="Times New Roman"/>
          <w:sz w:val="28"/>
          <w:szCs w:val="28"/>
        </w:rPr>
        <w:t xml:space="preserve"> </w:t>
      </w:r>
      <w:r w:rsidRPr="00756A98">
        <w:rPr>
          <w:rFonts w:ascii="Times New Roman" w:hAnsi="Times New Roman" w:cs="Times New Roman"/>
          <w:sz w:val="28"/>
          <w:szCs w:val="28"/>
        </w:rPr>
        <w:t xml:space="preserve">рост </w:t>
      </w:r>
      <w:r w:rsidR="005574CD" w:rsidRPr="00756A98">
        <w:rPr>
          <w:rFonts w:ascii="Times New Roman" w:hAnsi="Times New Roman" w:cs="Times New Roman"/>
          <w:sz w:val="28"/>
          <w:szCs w:val="28"/>
        </w:rPr>
        <w:t xml:space="preserve">тока происходит довольно резко и  поэтому, чтобы не  пережечь светодиод, следует внимательно регулировать поданное напряжение. </w:t>
      </w:r>
      <w:r w:rsidRPr="00756A98">
        <w:rPr>
          <w:rFonts w:ascii="Times New Roman" w:hAnsi="Times New Roman" w:cs="Times New Roman"/>
          <w:sz w:val="28"/>
          <w:szCs w:val="28"/>
        </w:rPr>
        <w:t xml:space="preserve">При этом за счёт рекомбинации инжектированных носителей заряда увеличивается интенсивность излучения и при условии </w:t>
      </w:r>
      <w:r w:rsidRPr="00756A98">
        <w:rPr>
          <w:rFonts w:ascii="Times New Roman" w:hAnsi="Times New Roman" w:cs="Times New Roman"/>
          <w:i/>
          <w:sz w:val="28"/>
          <w:szCs w:val="28"/>
          <w:lang w:val="en-US"/>
        </w:rPr>
        <w:t>q</w:t>
      </w:r>
      <w:r w:rsidRPr="00756A98">
        <w:rPr>
          <w:rFonts w:ascii="Times New Roman" w:hAnsi="Times New Roman" w:cs="Times New Roman"/>
          <w:i/>
          <w:sz w:val="28"/>
          <w:szCs w:val="28"/>
          <w:vertAlign w:val="subscript"/>
        </w:rPr>
        <w:t>0</w:t>
      </w:r>
      <w:r w:rsidRPr="00756A98">
        <w:rPr>
          <w:rFonts w:ascii="Times New Roman" w:hAnsi="Times New Roman" w:cs="Times New Roman"/>
          <w:i/>
          <w:sz w:val="28"/>
          <w:szCs w:val="28"/>
          <w:lang w:val="en-US"/>
        </w:rPr>
        <w:t>U</w:t>
      </w:r>
      <w:r w:rsidRPr="00756A98">
        <w:rPr>
          <w:rFonts w:ascii="Times New Roman" w:hAnsi="Times New Roman" w:cs="Times New Roman"/>
          <w:i/>
          <w:sz w:val="28"/>
          <w:szCs w:val="28"/>
          <w:vertAlign w:val="subscript"/>
        </w:rPr>
        <w:t>0</w:t>
      </w:r>
      <w:r w:rsidRPr="00756A98">
        <w:rPr>
          <w:rFonts w:ascii="Times New Roman" w:hAnsi="Times New Roman" w:cs="Times New Roman"/>
          <w:i/>
          <w:sz w:val="28"/>
          <w:szCs w:val="28"/>
        </w:rPr>
        <w:t>=</w:t>
      </w:r>
      <w:r w:rsidRPr="00756A98">
        <w:rPr>
          <w:rFonts w:ascii="Times New Roman" w:hAnsi="Times New Roman" w:cs="Times New Roman"/>
          <w:i/>
          <w:color w:val="000000"/>
          <w:sz w:val="28"/>
          <w:szCs w:val="28"/>
        </w:rPr>
        <w:t>Δ</w:t>
      </w:r>
      <w:proofErr w:type="spellStart"/>
      <w:r w:rsidRPr="00756A98">
        <w:rPr>
          <w:rFonts w:ascii="Times New Roman" w:hAnsi="Times New Roman" w:cs="Times New Roman"/>
          <w:i/>
          <w:sz w:val="28"/>
          <w:szCs w:val="28"/>
          <w:lang w:val="en-US"/>
        </w:rPr>
        <w:t>E</w:t>
      </w:r>
      <w:r w:rsidRPr="00756A98">
        <w:rPr>
          <w:rFonts w:ascii="Times New Roman" w:hAnsi="Times New Roman" w:cs="Times New Roman"/>
          <w:i/>
          <w:sz w:val="28"/>
          <w:szCs w:val="28"/>
          <w:vertAlign w:val="subscript"/>
          <w:lang w:val="en-US"/>
        </w:rPr>
        <w:t>g</w:t>
      </w:r>
      <w:proofErr w:type="spellEnd"/>
      <w:r w:rsidRPr="00756A98">
        <w:rPr>
          <w:rFonts w:ascii="Times New Roman" w:hAnsi="Times New Roman" w:cs="Times New Roman"/>
          <w:sz w:val="28"/>
          <w:szCs w:val="28"/>
          <w:vertAlign w:val="subscript"/>
        </w:rPr>
        <w:t xml:space="preserve"> </w:t>
      </w:r>
      <w:r w:rsidR="00947FF2" w:rsidRPr="00756A98">
        <w:rPr>
          <w:rFonts w:ascii="Times New Roman" w:hAnsi="Times New Roman" w:cs="Times New Roman"/>
          <w:sz w:val="28"/>
          <w:szCs w:val="28"/>
          <w:vertAlign w:val="subscript"/>
        </w:rPr>
        <w:t xml:space="preserve"> </w:t>
      </w:r>
      <w:r w:rsidR="00947FF2" w:rsidRPr="00756A98">
        <w:rPr>
          <w:rFonts w:ascii="Times New Roman" w:hAnsi="Times New Roman" w:cs="Times New Roman"/>
          <w:sz w:val="28"/>
          <w:szCs w:val="28"/>
        </w:rPr>
        <w:t>(</w:t>
      </w:r>
      <w:r w:rsidR="00947FF2" w:rsidRPr="00756A98">
        <w:rPr>
          <w:rFonts w:ascii="Times New Roman" w:hAnsi="Times New Roman" w:cs="Times New Roman"/>
          <w:i/>
          <w:color w:val="000000"/>
          <w:sz w:val="28"/>
          <w:szCs w:val="28"/>
        </w:rPr>
        <w:t>Δ</w:t>
      </w:r>
      <w:proofErr w:type="spellStart"/>
      <w:r w:rsidR="00947FF2" w:rsidRPr="00756A98">
        <w:rPr>
          <w:rFonts w:ascii="Times New Roman" w:hAnsi="Times New Roman" w:cs="Times New Roman"/>
          <w:i/>
          <w:sz w:val="28"/>
          <w:szCs w:val="28"/>
          <w:lang w:val="en-US"/>
        </w:rPr>
        <w:t>E</w:t>
      </w:r>
      <w:r w:rsidR="00947FF2" w:rsidRPr="00756A98">
        <w:rPr>
          <w:rFonts w:ascii="Times New Roman" w:hAnsi="Times New Roman" w:cs="Times New Roman"/>
          <w:i/>
          <w:sz w:val="28"/>
          <w:szCs w:val="28"/>
          <w:vertAlign w:val="subscript"/>
          <w:lang w:val="en-US"/>
        </w:rPr>
        <w:t>g</w:t>
      </w:r>
      <w:proofErr w:type="spellEnd"/>
      <w:r w:rsidR="00947FF2" w:rsidRPr="00756A98">
        <w:rPr>
          <w:rFonts w:ascii="Times New Roman" w:hAnsi="Times New Roman" w:cs="Times New Roman"/>
          <w:sz w:val="28"/>
          <w:szCs w:val="28"/>
          <w:vertAlign w:val="subscript"/>
        </w:rPr>
        <w:t xml:space="preserve"> </w:t>
      </w:r>
      <w:r w:rsidR="00947FF2" w:rsidRPr="00756A98">
        <w:rPr>
          <w:rFonts w:ascii="Times New Roman" w:hAnsi="Times New Roman" w:cs="Times New Roman"/>
          <w:sz w:val="28"/>
          <w:szCs w:val="28"/>
        </w:rPr>
        <w:t>– ширина запрещенной зоны)</w:t>
      </w:r>
      <w:r w:rsidR="00947FF2" w:rsidRPr="00756A98">
        <w:rPr>
          <w:rFonts w:ascii="Times New Roman" w:hAnsi="Times New Roman" w:cs="Times New Roman"/>
          <w:sz w:val="28"/>
          <w:szCs w:val="28"/>
          <w:vertAlign w:val="subscript"/>
        </w:rPr>
        <w:t xml:space="preserve"> </w:t>
      </w:r>
      <w:r w:rsidRPr="00756A98">
        <w:rPr>
          <w:rFonts w:ascii="Times New Roman" w:hAnsi="Times New Roman" w:cs="Times New Roman"/>
          <w:sz w:val="28"/>
          <w:szCs w:val="28"/>
        </w:rPr>
        <w:t>интенсивность излучения достигает нормальной величины (рабочий режим).</w:t>
      </w:r>
      <w:r w:rsidR="00947FF2" w:rsidRPr="00756A98">
        <w:rPr>
          <w:rFonts w:ascii="Times New Roman" w:hAnsi="Times New Roman" w:cs="Times New Roman"/>
          <w:sz w:val="28"/>
          <w:szCs w:val="28"/>
        </w:rPr>
        <w:t xml:space="preserve"> Обращаем внимание у обучаемых, что  п</w:t>
      </w:r>
      <w:r w:rsidRPr="00756A98">
        <w:rPr>
          <w:rFonts w:ascii="Times New Roman" w:hAnsi="Times New Roman" w:cs="Times New Roman"/>
          <w:sz w:val="28"/>
          <w:szCs w:val="28"/>
        </w:rPr>
        <w:t xml:space="preserve">оложение точки резкого возрастания тока непосредственно связано с шириной запрещённой зоны и, соответственно, высотой потенциального барьера на </w:t>
      </w:r>
      <w:r w:rsidRPr="00756A98">
        <w:rPr>
          <w:rFonts w:ascii="Times New Roman" w:hAnsi="Times New Roman" w:cs="Times New Roman"/>
          <w:i/>
          <w:sz w:val="28"/>
          <w:szCs w:val="28"/>
          <w:lang w:val="en-US"/>
        </w:rPr>
        <w:t>p</w:t>
      </w:r>
      <w:r w:rsidRPr="00756A98">
        <w:rPr>
          <w:rFonts w:ascii="Times New Roman" w:hAnsi="Times New Roman" w:cs="Times New Roman"/>
          <w:i/>
          <w:sz w:val="28"/>
          <w:szCs w:val="28"/>
        </w:rPr>
        <w:t>-</w:t>
      </w:r>
      <w:r w:rsidRPr="00756A98">
        <w:rPr>
          <w:rFonts w:ascii="Times New Roman" w:hAnsi="Times New Roman" w:cs="Times New Roman"/>
          <w:i/>
          <w:sz w:val="28"/>
          <w:szCs w:val="28"/>
          <w:lang w:val="en-US"/>
        </w:rPr>
        <w:t>n</w:t>
      </w:r>
      <w:r w:rsidR="00947FF2" w:rsidRPr="00756A98">
        <w:rPr>
          <w:rFonts w:ascii="Times New Roman" w:hAnsi="Times New Roman" w:cs="Times New Roman"/>
          <w:sz w:val="28"/>
          <w:szCs w:val="28"/>
        </w:rPr>
        <w:t>-переходе, и поэтому по ВАХ можно определить ширину запрещенной зоны различных светодиодов.</w:t>
      </w:r>
      <w:r w:rsidRPr="00756A98">
        <w:rPr>
          <w:rFonts w:ascii="Times New Roman" w:hAnsi="Times New Roman" w:cs="Times New Roman"/>
          <w:sz w:val="28"/>
          <w:szCs w:val="28"/>
        </w:rPr>
        <w:t xml:space="preserve"> По мере роста плотности тока через переход все большее число электронов и дырок инжектируется в запрещённую зону. При их движении возникают вторичные эффекты, повышающие число дырок и электронов, которые могут </w:t>
      </w:r>
      <w:proofErr w:type="spellStart"/>
      <w:r w:rsidRPr="00756A98">
        <w:rPr>
          <w:rFonts w:ascii="Times New Roman" w:hAnsi="Times New Roman" w:cs="Times New Roman"/>
          <w:sz w:val="28"/>
          <w:szCs w:val="28"/>
        </w:rPr>
        <w:t>рекомбинировать</w:t>
      </w:r>
      <w:proofErr w:type="spellEnd"/>
      <w:r w:rsidRPr="00756A98">
        <w:rPr>
          <w:rFonts w:ascii="Times New Roman" w:hAnsi="Times New Roman" w:cs="Times New Roman"/>
          <w:sz w:val="28"/>
          <w:szCs w:val="28"/>
        </w:rPr>
        <w:t xml:space="preserve"> и при этом излучать свет. В результате световая эффективность СИД увеличивается.</w:t>
      </w:r>
    </w:p>
    <w:p w:rsidR="004D5C00" w:rsidRPr="00756A98" w:rsidRDefault="004D5C00" w:rsidP="00756A98">
      <w:pPr>
        <w:spacing w:after="0" w:line="240" w:lineRule="auto"/>
        <w:jc w:val="both"/>
        <w:rPr>
          <w:rFonts w:ascii="Times New Roman" w:hAnsi="Times New Roman" w:cs="Times New Roman"/>
          <w:sz w:val="28"/>
          <w:szCs w:val="28"/>
          <w:lang w:val="en-US"/>
        </w:rPr>
      </w:pPr>
      <w:r w:rsidRPr="00756A98">
        <w:rPr>
          <w:rFonts w:ascii="Times New Roman" w:hAnsi="Times New Roman" w:cs="Times New Roman"/>
          <w:noProof/>
          <w:sz w:val="28"/>
          <w:szCs w:val="28"/>
        </w:rPr>
        <w:lastRenderedPageBreak/>
        <w:drawing>
          <wp:inline distT="0" distB="0" distL="0" distR="0" wp14:anchorId="4E7AE2F0" wp14:editId="5B60E5B5">
            <wp:extent cx="4829175" cy="2819400"/>
            <wp:effectExtent l="0" t="0" r="9525" b="1905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D5C00" w:rsidRPr="00756A98" w:rsidRDefault="009672F3" w:rsidP="00756A98">
      <w:pPr>
        <w:spacing w:after="0" w:line="240" w:lineRule="auto"/>
        <w:jc w:val="both"/>
        <w:rPr>
          <w:rFonts w:ascii="Times New Roman" w:hAnsi="Times New Roman" w:cs="Times New Roman"/>
          <w:i/>
          <w:sz w:val="28"/>
          <w:szCs w:val="28"/>
        </w:rPr>
      </w:pPr>
      <w:r w:rsidRPr="00756A98">
        <w:rPr>
          <w:rFonts w:ascii="Times New Roman" w:hAnsi="Times New Roman" w:cs="Times New Roman"/>
          <w:i/>
          <w:sz w:val="28"/>
          <w:szCs w:val="28"/>
        </w:rPr>
        <w:t>Рис.</w:t>
      </w:r>
      <w:r w:rsidR="00947FF2" w:rsidRPr="00756A98">
        <w:rPr>
          <w:rFonts w:ascii="Times New Roman" w:hAnsi="Times New Roman" w:cs="Times New Roman"/>
          <w:i/>
          <w:sz w:val="28"/>
          <w:szCs w:val="28"/>
        </w:rPr>
        <w:t>1</w:t>
      </w:r>
      <w:r w:rsidR="004D5C00" w:rsidRPr="00756A98">
        <w:rPr>
          <w:rFonts w:ascii="Times New Roman" w:hAnsi="Times New Roman" w:cs="Times New Roman"/>
          <w:i/>
          <w:sz w:val="28"/>
          <w:szCs w:val="28"/>
        </w:rPr>
        <w:t>. ВАХ светоизлучающих диодов видимого диапазона</w:t>
      </w:r>
    </w:p>
    <w:p w:rsidR="00756A98" w:rsidRPr="00756A98" w:rsidRDefault="00947FF2" w:rsidP="00756A98">
      <w:pPr>
        <w:spacing w:before="240" w:after="0" w:line="240" w:lineRule="auto"/>
        <w:ind w:firstLine="709"/>
        <w:jc w:val="both"/>
        <w:rPr>
          <w:rFonts w:ascii="Times New Roman" w:hAnsi="Times New Roman" w:cs="Times New Roman"/>
          <w:sz w:val="28"/>
          <w:szCs w:val="28"/>
        </w:rPr>
      </w:pPr>
      <w:r w:rsidRPr="00756A98">
        <w:rPr>
          <w:rFonts w:ascii="Times New Roman" w:hAnsi="Times New Roman" w:cs="Times New Roman"/>
          <w:sz w:val="28"/>
          <w:szCs w:val="28"/>
        </w:rPr>
        <w:t>Ширина запрещенной зоны определяется по формуле</w:t>
      </w:r>
      <w:r w:rsidR="00756A98" w:rsidRPr="00756A98">
        <w:rPr>
          <w:rFonts w:ascii="Times New Roman" w:hAnsi="Times New Roman" w:cs="Times New Roman"/>
          <w:sz w:val="28"/>
          <w:szCs w:val="28"/>
        </w:rPr>
        <w:t xml:space="preserve"> (1)</w:t>
      </w:r>
      <w:r w:rsidRPr="00756A98">
        <w:rPr>
          <w:rFonts w:ascii="Times New Roman" w:hAnsi="Times New Roman" w:cs="Times New Roman"/>
          <w:sz w:val="28"/>
          <w:szCs w:val="28"/>
        </w:rPr>
        <w:t xml:space="preserve">: </w:t>
      </w:r>
    </w:p>
    <w:p w:rsidR="00756A98" w:rsidRPr="00756A98" w:rsidRDefault="00756A98" w:rsidP="00756A98">
      <w:pPr>
        <w:spacing w:before="240" w:after="0" w:line="240" w:lineRule="auto"/>
        <w:jc w:val="both"/>
        <w:rPr>
          <w:rFonts w:ascii="Times New Roman" w:hAnsi="Times New Roman" w:cs="Times New Roman"/>
          <w:sz w:val="28"/>
          <w:szCs w:val="28"/>
        </w:rPr>
      </w:pPr>
      <w:r>
        <w:rPr>
          <w:rFonts w:ascii="Times New Roman" w:hAnsi="Times New Roman" w:cs="Times New Roman"/>
          <w:i/>
          <w:color w:val="000000"/>
          <w:sz w:val="28"/>
          <w:szCs w:val="28"/>
        </w:rPr>
        <w:t xml:space="preserve">                </w:t>
      </w:r>
      <w:r w:rsidR="00947FF2" w:rsidRPr="00756A98">
        <w:rPr>
          <w:rFonts w:ascii="Times New Roman" w:hAnsi="Times New Roman" w:cs="Times New Roman"/>
          <w:i/>
          <w:color w:val="000000"/>
          <w:sz w:val="28"/>
          <w:szCs w:val="28"/>
        </w:rPr>
        <w:t>Δ</w:t>
      </w:r>
      <w:proofErr w:type="spellStart"/>
      <w:r w:rsidR="00947FF2" w:rsidRPr="00756A98">
        <w:rPr>
          <w:rFonts w:ascii="Times New Roman" w:hAnsi="Times New Roman" w:cs="Times New Roman"/>
          <w:i/>
          <w:sz w:val="28"/>
          <w:szCs w:val="28"/>
          <w:lang w:val="en-US"/>
        </w:rPr>
        <w:t>E</w:t>
      </w:r>
      <w:r w:rsidR="00947FF2" w:rsidRPr="00756A98">
        <w:rPr>
          <w:rFonts w:ascii="Times New Roman" w:hAnsi="Times New Roman" w:cs="Times New Roman"/>
          <w:i/>
          <w:sz w:val="28"/>
          <w:szCs w:val="28"/>
          <w:vertAlign w:val="subscript"/>
          <w:lang w:val="en-US"/>
        </w:rPr>
        <w:t>g</w:t>
      </w:r>
      <w:proofErr w:type="spellEnd"/>
      <w:r w:rsidR="00947FF2" w:rsidRPr="00756A98">
        <w:rPr>
          <w:rFonts w:ascii="Times New Roman" w:hAnsi="Times New Roman" w:cs="Times New Roman"/>
          <w:i/>
          <w:sz w:val="28"/>
          <w:szCs w:val="28"/>
        </w:rPr>
        <w:t xml:space="preserve">= </w:t>
      </w:r>
      <w:r w:rsidR="00947FF2" w:rsidRPr="00756A98">
        <w:rPr>
          <w:rFonts w:ascii="Times New Roman" w:hAnsi="Times New Roman" w:cs="Times New Roman"/>
          <w:i/>
          <w:sz w:val="28"/>
          <w:szCs w:val="28"/>
          <w:lang w:val="en-US"/>
        </w:rPr>
        <w:t>q</w:t>
      </w:r>
      <w:r w:rsidR="00947FF2" w:rsidRPr="00756A98">
        <w:rPr>
          <w:rFonts w:ascii="Times New Roman" w:hAnsi="Times New Roman" w:cs="Times New Roman"/>
          <w:i/>
          <w:sz w:val="28"/>
          <w:szCs w:val="28"/>
          <w:vertAlign w:val="subscript"/>
        </w:rPr>
        <w:t>0</w:t>
      </w:r>
      <w:r w:rsidR="00947FF2" w:rsidRPr="00756A98">
        <w:rPr>
          <w:rFonts w:ascii="Times New Roman" w:hAnsi="Times New Roman" w:cs="Times New Roman"/>
          <w:i/>
          <w:sz w:val="28"/>
          <w:szCs w:val="28"/>
          <w:lang w:val="en-US"/>
        </w:rPr>
        <w:t>U</w:t>
      </w:r>
      <w:r w:rsidR="00947FF2" w:rsidRPr="00756A98">
        <w:rPr>
          <w:rFonts w:ascii="Times New Roman" w:hAnsi="Times New Roman" w:cs="Times New Roman"/>
          <w:i/>
          <w:sz w:val="28"/>
          <w:szCs w:val="28"/>
          <w:vertAlign w:val="subscript"/>
        </w:rPr>
        <w:t>0</w:t>
      </w:r>
      <w:r w:rsidR="00947FF2" w:rsidRPr="00756A98">
        <w:rPr>
          <w:rFonts w:ascii="Times New Roman" w:hAnsi="Times New Roman" w:cs="Times New Roman"/>
          <w:i/>
          <w:sz w:val="28"/>
          <w:szCs w:val="28"/>
        </w:rPr>
        <w:t xml:space="preserve">. </w:t>
      </w:r>
      <w:r w:rsidRPr="00756A98">
        <w:rPr>
          <w:rFonts w:ascii="Times New Roman" w:hAnsi="Times New Roman" w:cs="Times New Roman"/>
          <w:i/>
          <w:sz w:val="28"/>
          <w:szCs w:val="28"/>
        </w:rPr>
        <w:t xml:space="preserve">                                                                    </w:t>
      </w:r>
      <w:r w:rsidRPr="00756A98">
        <w:rPr>
          <w:rFonts w:ascii="Times New Roman" w:hAnsi="Times New Roman" w:cs="Times New Roman"/>
          <w:sz w:val="28"/>
          <w:szCs w:val="28"/>
        </w:rPr>
        <w:t xml:space="preserve">       (1)</w:t>
      </w:r>
    </w:p>
    <w:p w:rsidR="00947FF2" w:rsidRPr="00756A98" w:rsidRDefault="00947FF2" w:rsidP="00756A98">
      <w:pPr>
        <w:spacing w:before="240" w:after="0" w:line="240" w:lineRule="auto"/>
        <w:ind w:firstLine="709"/>
        <w:jc w:val="both"/>
        <w:rPr>
          <w:rFonts w:ascii="Times New Roman" w:hAnsi="Times New Roman" w:cs="Times New Roman"/>
          <w:sz w:val="28"/>
          <w:szCs w:val="28"/>
        </w:rPr>
      </w:pPr>
      <w:r w:rsidRPr="00756A98">
        <w:rPr>
          <w:rFonts w:ascii="Times New Roman" w:hAnsi="Times New Roman" w:cs="Times New Roman"/>
          <w:sz w:val="28"/>
          <w:szCs w:val="28"/>
        </w:rPr>
        <w:t xml:space="preserve">Для </w:t>
      </w:r>
      <w:proofErr w:type="gramStart"/>
      <w:r w:rsidRPr="00756A98">
        <w:rPr>
          <w:rFonts w:ascii="Times New Roman" w:hAnsi="Times New Roman" w:cs="Times New Roman"/>
          <w:sz w:val="28"/>
          <w:szCs w:val="28"/>
        </w:rPr>
        <w:t>различных</w:t>
      </w:r>
      <w:proofErr w:type="gramEnd"/>
      <w:r w:rsidRPr="00756A98">
        <w:rPr>
          <w:rFonts w:ascii="Times New Roman" w:hAnsi="Times New Roman" w:cs="Times New Roman"/>
          <w:sz w:val="28"/>
          <w:szCs w:val="28"/>
        </w:rPr>
        <w:t xml:space="preserve"> СИД были экспериментально определены её значение, результаты приведены в таблице № 1</w:t>
      </w:r>
    </w:p>
    <w:p w:rsidR="004D5C00" w:rsidRPr="00756A98" w:rsidRDefault="009672F3" w:rsidP="00756A98">
      <w:pPr>
        <w:spacing w:after="0" w:line="240" w:lineRule="auto"/>
        <w:jc w:val="both"/>
        <w:rPr>
          <w:rFonts w:ascii="Times New Roman" w:hAnsi="Times New Roman" w:cs="Times New Roman"/>
          <w:sz w:val="28"/>
          <w:szCs w:val="28"/>
        </w:rPr>
      </w:pPr>
      <w:r w:rsidRPr="00756A98">
        <w:rPr>
          <w:rFonts w:ascii="Times New Roman" w:hAnsi="Times New Roman" w:cs="Times New Roman"/>
          <w:sz w:val="28"/>
          <w:szCs w:val="28"/>
        </w:rPr>
        <w:t xml:space="preserve">Таблица </w:t>
      </w:r>
      <w:r w:rsidR="004D5C00" w:rsidRPr="00756A98">
        <w:rPr>
          <w:rFonts w:ascii="Times New Roman" w:hAnsi="Times New Roman" w:cs="Times New Roman"/>
          <w:sz w:val="28"/>
          <w:szCs w:val="28"/>
        </w:rPr>
        <w:t>1. Ширина запрещенной зоны светодиодов</w:t>
      </w:r>
    </w:p>
    <w:tbl>
      <w:tblPr>
        <w:tblStyle w:val="a3"/>
        <w:tblW w:w="9464" w:type="dxa"/>
        <w:tblLayout w:type="fixed"/>
        <w:tblLook w:val="04A0" w:firstRow="1" w:lastRow="0" w:firstColumn="1" w:lastColumn="0" w:noHBand="0" w:noVBand="1"/>
      </w:tblPr>
      <w:tblGrid>
        <w:gridCol w:w="2518"/>
        <w:gridCol w:w="2835"/>
        <w:gridCol w:w="1843"/>
        <w:gridCol w:w="2268"/>
      </w:tblGrid>
      <w:tr w:rsidR="004D5C00" w:rsidRPr="00756A98" w:rsidTr="008F5684">
        <w:trPr>
          <w:trHeight w:val="260"/>
        </w:trPr>
        <w:tc>
          <w:tcPr>
            <w:tcW w:w="2518" w:type="dxa"/>
            <w:noWrap/>
            <w:vAlign w:val="center"/>
            <w:hideMark/>
          </w:tcPr>
          <w:p w:rsidR="004D5C00" w:rsidRPr="00756A98" w:rsidRDefault="004D5C00" w:rsidP="00756A98">
            <w:pPr>
              <w:jc w:val="both"/>
              <w:rPr>
                <w:rFonts w:ascii="Times New Roman" w:eastAsia="Times New Roman" w:hAnsi="Times New Roman" w:cs="Times New Roman"/>
                <w:sz w:val="28"/>
                <w:szCs w:val="28"/>
              </w:rPr>
            </w:pPr>
          </w:p>
        </w:tc>
        <w:tc>
          <w:tcPr>
            <w:tcW w:w="2835" w:type="dxa"/>
            <w:noWrap/>
            <w:vAlign w:val="center"/>
            <w:hideMark/>
          </w:tcPr>
          <w:p w:rsidR="004D5C00" w:rsidRPr="00756A98" w:rsidRDefault="004D5C00" w:rsidP="00756A98">
            <w:pPr>
              <w:jc w:val="both"/>
              <w:rPr>
                <w:rFonts w:ascii="Times New Roman" w:eastAsia="Times New Roman" w:hAnsi="Times New Roman" w:cs="Times New Roman"/>
                <w:sz w:val="28"/>
                <w:szCs w:val="28"/>
              </w:rPr>
            </w:pPr>
            <w:r w:rsidRPr="00756A98">
              <w:rPr>
                <w:rFonts w:ascii="Times New Roman" w:eastAsia="Times New Roman" w:hAnsi="Times New Roman" w:cs="Times New Roman"/>
                <w:sz w:val="28"/>
                <w:szCs w:val="28"/>
              </w:rPr>
              <w:t>КИПМ01В</w:t>
            </w:r>
          </w:p>
        </w:tc>
        <w:tc>
          <w:tcPr>
            <w:tcW w:w="1843" w:type="dxa"/>
            <w:noWrap/>
            <w:vAlign w:val="center"/>
            <w:hideMark/>
          </w:tcPr>
          <w:p w:rsidR="004D5C00" w:rsidRPr="00756A98" w:rsidRDefault="004D5C00" w:rsidP="00756A98">
            <w:pPr>
              <w:jc w:val="both"/>
              <w:rPr>
                <w:rFonts w:ascii="Times New Roman" w:eastAsia="Times New Roman" w:hAnsi="Times New Roman" w:cs="Times New Roman"/>
                <w:sz w:val="28"/>
                <w:szCs w:val="28"/>
              </w:rPr>
            </w:pPr>
            <w:r w:rsidRPr="00756A98">
              <w:rPr>
                <w:rFonts w:ascii="Times New Roman" w:eastAsia="Times New Roman" w:hAnsi="Times New Roman" w:cs="Times New Roman"/>
                <w:sz w:val="28"/>
                <w:szCs w:val="28"/>
              </w:rPr>
              <w:t>АЛ307АМ</w:t>
            </w:r>
          </w:p>
        </w:tc>
        <w:tc>
          <w:tcPr>
            <w:tcW w:w="2268" w:type="dxa"/>
            <w:noWrap/>
            <w:vAlign w:val="center"/>
            <w:hideMark/>
          </w:tcPr>
          <w:p w:rsidR="004D5C00" w:rsidRPr="00756A98" w:rsidRDefault="004D5C00" w:rsidP="00756A98">
            <w:pPr>
              <w:jc w:val="both"/>
              <w:rPr>
                <w:rFonts w:ascii="Times New Roman" w:eastAsia="Times New Roman" w:hAnsi="Times New Roman" w:cs="Times New Roman"/>
                <w:sz w:val="28"/>
                <w:szCs w:val="28"/>
              </w:rPr>
            </w:pPr>
            <w:r w:rsidRPr="00756A98">
              <w:rPr>
                <w:rFonts w:ascii="Times New Roman" w:eastAsia="Times New Roman" w:hAnsi="Times New Roman" w:cs="Times New Roman"/>
                <w:sz w:val="28"/>
                <w:szCs w:val="28"/>
              </w:rPr>
              <w:t>АЛ102АМ</w:t>
            </w:r>
          </w:p>
        </w:tc>
      </w:tr>
      <w:tr w:rsidR="004D5C00" w:rsidRPr="00756A98" w:rsidTr="008F5684">
        <w:trPr>
          <w:trHeight w:val="260"/>
        </w:trPr>
        <w:tc>
          <w:tcPr>
            <w:tcW w:w="2518" w:type="dxa"/>
            <w:noWrap/>
            <w:vAlign w:val="center"/>
            <w:hideMark/>
          </w:tcPr>
          <w:p w:rsidR="004D5C00" w:rsidRPr="00756A98" w:rsidRDefault="004D5C00" w:rsidP="00756A98">
            <w:pPr>
              <w:jc w:val="both"/>
              <w:rPr>
                <w:rFonts w:ascii="Times New Roman" w:eastAsia="Times New Roman" w:hAnsi="Times New Roman" w:cs="Times New Roman"/>
                <w:sz w:val="28"/>
                <w:szCs w:val="28"/>
              </w:rPr>
            </w:pPr>
            <w:r w:rsidRPr="00756A98">
              <w:rPr>
                <w:rFonts w:ascii="Times New Roman" w:eastAsia="Times New Roman" w:hAnsi="Times New Roman" w:cs="Times New Roman"/>
                <w:sz w:val="28"/>
                <w:szCs w:val="28"/>
              </w:rPr>
              <w:t>U</w:t>
            </w:r>
            <w:r w:rsidRPr="00756A98">
              <w:rPr>
                <w:rFonts w:ascii="Times New Roman" w:eastAsia="Times New Roman" w:hAnsi="Times New Roman" w:cs="Times New Roman"/>
                <w:sz w:val="28"/>
                <w:szCs w:val="28"/>
                <w:vertAlign w:val="subscript"/>
              </w:rPr>
              <w:t>0</w:t>
            </w:r>
            <w:r w:rsidRPr="00756A98">
              <w:rPr>
                <w:rFonts w:ascii="Times New Roman" w:eastAsia="Times New Roman" w:hAnsi="Times New Roman" w:cs="Times New Roman"/>
                <w:sz w:val="28"/>
                <w:szCs w:val="28"/>
              </w:rPr>
              <w:t>, В</w:t>
            </w:r>
          </w:p>
        </w:tc>
        <w:tc>
          <w:tcPr>
            <w:tcW w:w="2835" w:type="dxa"/>
            <w:noWrap/>
            <w:vAlign w:val="center"/>
            <w:hideMark/>
          </w:tcPr>
          <w:p w:rsidR="004D5C00" w:rsidRPr="00756A98" w:rsidRDefault="004D5C00" w:rsidP="00756A98">
            <w:pPr>
              <w:jc w:val="both"/>
              <w:rPr>
                <w:rFonts w:ascii="Times New Roman" w:eastAsia="Times New Roman" w:hAnsi="Times New Roman" w:cs="Times New Roman"/>
                <w:sz w:val="28"/>
                <w:szCs w:val="28"/>
              </w:rPr>
            </w:pPr>
            <w:r w:rsidRPr="00756A98">
              <w:rPr>
                <w:rFonts w:ascii="Times New Roman" w:eastAsia="Times New Roman" w:hAnsi="Times New Roman" w:cs="Times New Roman"/>
                <w:sz w:val="28"/>
                <w:szCs w:val="28"/>
              </w:rPr>
              <w:t>1,82</w:t>
            </w:r>
          </w:p>
        </w:tc>
        <w:tc>
          <w:tcPr>
            <w:tcW w:w="1843" w:type="dxa"/>
            <w:noWrap/>
            <w:vAlign w:val="center"/>
            <w:hideMark/>
          </w:tcPr>
          <w:p w:rsidR="004D5C00" w:rsidRPr="00756A98" w:rsidRDefault="004D5C00" w:rsidP="00756A98">
            <w:pPr>
              <w:jc w:val="both"/>
              <w:rPr>
                <w:rFonts w:ascii="Times New Roman" w:eastAsia="Times New Roman" w:hAnsi="Times New Roman" w:cs="Times New Roman"/>
                <w:sz w:val="28"/>
                <w:szCs w:val="28"/>
              </w:rPr>
            </w:pPr>
            <w:r w:rsidRPr="00756A98">
              <w:rPr>
                <w:rFonts w:ascii="Times New Roman" w:eastAsia="Times New Roman" w:hAnsi="Times New Roman" w:cs="Times New Roman"/>
                <w:sz w:val="28"/>
                <w:szCs w:val="28"/>
              </w:rPr>
              <w:t>1,57</w:t>
            </w:r>
          </w:p>
        </w:tc>
        <w:tc>
          <w:tcPr>
            <w:tcW w:w="2268" w:type="dxa"/>
            <w:noWrap/>
            <w:vAlign w:val="center"/>
            <w:hideMark/>
          </w:tcPr>
          <w:p w:rsidR="004D5C00" w:rsidRPr="00756A98" w:rsidRDefault="004D5C00" w:rsidP="00756A98">
            <w:pPr>
              <w:jc w:val="both"/>
              <w:rPr>
                <w:rFonts w:ascii="Times New Roman" w:eastAsia="Times New Roman" w:hAnsi="Times New Roman" w:cs="Times New Roman"/>
                <w:sz w:val="28"/>
                <w:szCs w:val="28"/>
              </w:rPr>
            </w:pPr>
            <w:r w:rsidRPr="00756A98">
              <w:rPr>
                <w:rFonts w:ascii="Times New Roman" w:eastAsia="Times New Roman" w:hAnsi="Times New Roman" w:cs="Times New Roman"/>
                <w:sz w:val="28"/>
                <w:szCs w:val="28"/>
              </w:rPr>
              <w:t>1,52</w:t>
            </w:r>
          </w:p>
        </w:tc>
      </w:tr>
      <w:tr w:rsidR="004D5C00" w:rsidRPr="00756A98" w:rsidTr="008F5684">
        <w:trPr>
          <w:trHeight w:val="260"/>
        </w:trPr>
        <w:tc>
          <w:tcPr>
            <w:tcW w:w="2518" w:type="dxa"/>
            <w:noWrap/>
            <w:vAlign w:val="center"/>
            <w:hideMark/>
          </w:tcPr>
          <w:p w:rsidR="004D5C00" w:rsidRPr="00756A98" w:rsidRDefault="004D5C00" w:rsidP="00756A98">
            <w:pPr>
              <w:jc w:val="both"/>
              <w:rPr>
                <w:rFonts w:ascii="Times New Roman" w:eastAsia="Times New Roman" w:hAnsi="Times New Roman" w:cs="Times New Roman"/>
                <w:sz w:val="28"/>
                <w:szCs w:val="28"/>
              </w:rPr>
            </w:pPr>
            <w:proofErr w:type="spellStart"/>
            <w:r w:rsidRPr="00756A98">
              <w:rPr>
                <w:rFonts w:ascii="Times New Roman" w:eastAsia="Times New Roman" w:hAnsi="Times New Roman" w:cs="Times New Roman"/>
                <w:sz w:val="28"/>
                <w:szCs w:val="28"/>
              </w:rPr>
              <w:t>E</w:t>
            </w:r>
            <w:r w:rsidRPr="00756A98">
              <w:rPr>
                <w:rFonts w:ascii="Times New Roman" w:eastAsia="Times New Roman" w:hAnsi="Times New Roman" w:cs="Times New Roman"/>
                <w:sz w:val="28"/>
                <w:szCs w:val="28"/>
                <w:vertAlign w:val="subscript"/>
              </w:rPr>
              <w:t>g</w:t>
            </w:r>
            <w:proofErr w:type="spellEnd"/>
            <w:r w:rsidRPr="00756A98">
              <w:rPr>
                <w:rFonts w:ascii="Times New Roman" w:eastAsia="Times New Roman" w:hAnsi="Times New Roman" w:cs="Times New Roman"/>
                <w:sz w:val="28"/>
                <w:szCs w:val="28"/>
              </w:rPr>
              <w:t>=q</w:t>
            </w:r>
            <w:r w:rsidRPr="00756A98">
              <w:rPr>
                <w:rFonts w:ascii="Times New Roman" w:eastAsia="Times New Roman" w:hAnsi="Times New Roman" w:cs="Times New Roman"/>
                <w:sz w:val="28"/>
                <w:szCs w:val="28"/>
                <w:vertAlign w:val="subscript"/>
              </w:rPr>
              <w:t>0</w:t>
            </w:r>
            <w:r w:rsidRPr="00756A98">
              <w:rPr>
                <w:rFonts w:ascii="Times New Roman" w:eastAsia="Times New Roman" w:hAnsi="Times New Roman" w:cs="Times New Roman"/>
                <w:sz w:val="28"/>
                <w:szCs w:val="28"/>
              </w:rPr>
              <w:t>U</w:t>
            </w:r>
            <w:r w:rsidRPr="00756A98">
              <w:rPr>
                <w:rFonts w:ascii="Times New Roman" w:eastAsia="Times New Roman" w:hAnsi="Times New Roman" w:cs="Times New Roman"/>
                <w:sz w:val="28"/>
                <w:szCs w:val="28"/>
                <w:vertAlign w:val="subscript"/>
              </w:rPr>
              <w:t>0</w:t>
            </w:r>
            <w:r w:rsidRPr="00756A98">
              <w:rPr>
                <w:rFonts w:ascii="Times New Roman" w:eastAsia="Times New Roman" w:hAnsi="Times New Roman" w:cs="Times New Roman"/>
                <w:sz w:val="28"/>
                <w:szCs w:val="28"/>
              </w:rPr>
              <w:t>, *10</w:t>
            </w:r>
            <w:r w:rsidRPr="00756A98">
              <w:rPr>
                <w:rFonts w:ascii="Times New Roman" w:eastAsia="Times New Roman" w:hAnsi="Times New Roman" w:cs="Times New Roman"/>
                <w:sz w:val="28"/>
                <w:szCs w:val="28"/>
                <w:vertAlign w:val="superscript"/>
              </w:rPr>
              <w:t>-19</w:t>
            </w:r>
            <w:r w:rsidRPr="00756A98">
              <w:rPr>
                <w:rFonts w:ascii="Times New Roman" w:eastAsia="Times New Roman" w:hAnsi="Times New Roman" w:cs="Times New Roman"/>
                <w:sz w:val="28"/>
                <w:szCs w:val="28"/>
              </w:rPr>
              <w:t>Дж</w:t>
            </w:r>
          </w:p>
        </w:tc>
        <w:tc>
          <w:tcPr>
            <w:tcW w:w="2835" w:type="dxa"/>
            <w:noWrap/>
            <w:vAlign w:val="center"/>
            <w:hideMark/>
          </w:tcPr>
          <w:p w:rsidR="004D5C00" w:rsidRPr="00756A98" w:rsidRDefault="004D5C00" w:rsidP="00756A98">
            <w:pPr>
              <w:jc w:val="both"/>
              <w:rPr>
                <w:rFonts w:ascii="Times New Roman" w:eastAsia="Times New Roman" w:hAnsi="Times New Roman" w:cs="Times New Roman"/>
                <w:sz w:val="28"/>
                <w:szCs w:val="28"/>
              </w:rPr>
            </w:pPr>
            <w:r w:rsidRPr="00756A98">
              <w:rPr>
                <w:rFonts w:ascii="Times New Roman" w:eastAsia="Times New Roman" w:hAnsi="Times New Roman" w:cs="Times New Roman"/>
                <w:sz w:val="28"/>
                <w:szCs w:val="28"/>
              </w:rPr>
              <w:t>2,91</w:t>
            </w:r>
          </w:p>
        </w:tc>
        <w:tc>
          <w:tcPr>
            <w:tcW w:w="1843" w:type="dxa"/>
            <w:noWrap/>
            <w:vAlign w:val="center"/>
            <w:hideMark/>
          </w:tcPr>
          <w:p w:rsidR="004D5C00" w:rsidRPr="00756A98" w:rsidRDefault="004D5C00" w:rsidP="00756A98">
            <w:pPr>
              <w:jc w:val="both"/>
              <w:rPr>
                <w:rFonts w:ascii="Times New Roman" w:eastAsia="Times New Roman" w:hAnsi="Times New Roman" w:cs="Times New Roman"/>
                <w:sz w:val="28"/>
                <w:szCs w:val="28"/>
              </w:rPr>
            </w:pPr>
            <w:r w:rsidRPr="00756A98">
              <w:rPr>
                <w:rFonts w:ascii="Times New Roman" w:eastAsia="Times New Roman" w:hAnsi="Times New Roman" w:cs="Times New Roman"/>
                <w:sz w:val="28"/>
                <w:szCs w:val="28"/>
              </w:rPr>
              <w:t>2,51</w:t>
            </w:r>
          </w:p>
        </w:tc>
        <w:tc>
          <w:tcPr>
            <w:tcW w:w="2268" w:type="dxa"/>
            <w:noWrap/>
            <w:vAlign w:val="center"/>
            <w:hideMark/>
          </w:tcPr>
          <w:p w:rsidR="004D5C00" w:rsidRPr="00756A98" w:rsidRDefault="004D5C00" w:rsidP="00756A98">
            <w:pPr>
              <w:jc w:val="both"/>
              <w:rPr>
                <w:rFonts w:ascii="Times New Roman" w:eastAsia="Times New Roman" w:hAnsi="Times New Roman" w:cs="Times New Roman"/>
                <w:sz w:val="28"/>
                <w:szCs w:val="28"/>
              </w:rPr>
            </w:pPr>
            <w:r w:rsidRPr="00756A98">
              <w:rPr>
                <w:rFonts w:ascii="Times New Roman" w:eastAsia="Times New Roman" w:hAnsi="Times New Roman" w:cs="Times New Roman"/>
                <w:sz w:val="28"/>
                <w:szCs w:val="28"/>
              </w:rPr>
              <w:t>2,43</w:t>
            </w:r>
          </w:p>
        </w:tc>
      </w:tr>
    </w:tbl>
    <w:p w:rsidR="004D5C00" w:rsidRPr="00756A98" w:rsidRDefault="004D5C00" w:rsidP="00756A98">
      <w:pPr>
        <w:spacing w:after="0" w:line="240" w:lineRule="auto"/>
        <w:jc w:val="both"/>
        <w:rPr>
          <w:rFonts w:ascii="Times New Roman" w:hAnsi="Times New Roman" w:cs="Times New Roman"/>
          <w:sz w:val="28"/>
          <w:szCs w:val="28"/>
        </w:rPr>
      </w:pPr>
    </w:p>
    <w:p w:rsidR="00256BBE" w:rsidRPr="00756A98" w:rsidRDefault="004D5C00" w:rsidP="00756A98">
      <w:pPr>
        <w:spacing w:after="0" w:line="240" w:lineRule="auto"/>
        <w:ind w:firstLine="709"/>
        <w:jc w:val="both"/>
        <w:rPr>
          <w:rFonts w:ascii="Times New Roman" w:hAnsi="Times New Roman" w:cs="Times New Roman"/>
          <w:sz w:val="28"/>
          <w:szCs w:val="28"/>
        </w:rPr>
      </w:pPr>
      <w:r w:rsidRPr="00756A98">
        <w:rPr>
          <w:rFonts w:ascii="Times New Roman" w:hAnsi="Times New Roman" w:cs="Times New Roman"/>
          <w:sz w:val="28"/>
          <w:szCs w:val="28"/>
        </w:rPr>
        <w:t xml:space="preserve">Различная ширина запрещённой зоны объясняется тем, что от нее зависит цвет свечения СИД, поэтому СИД разных марок, но изготовленные на основе одних материалов имеют сходное по спектральному составу свечение. Чем меньше ширина запрещённой зоны, тем излучение света происходит с меньшей средней частотой, т.е. соответственно с большей средней длиной волны. Полученные прямые ветви ВАХ всех исследуемых СИД попадают в зону разброса ВАХ из паспортных данных соответствующих СИД. </w:t>
      </w:r>
    </w:p>
    <w:p w:rsidR="007B337E" w:rsidRPr="00756A98" w:rsidRDefault="00756A98" w:rsidP="00756A98">
      <w:pPr>
        <w:spacing w:line="240" w:lineRule="auto"/>
        <w:jc w:val="both"/>
        <w:rPr>
          <w:rFonts w:ascii="Times New Roman" w:hAnsi="Times New Roman" w:cs="Times New Roman"/>
          <w:sz w:val="28"/>
          <w:szCs w:val="28"/>
        </w:rPr>
      </w:pPr>
      <w:r w:rsidRPr="00756A98">
        <w:rPr>
          <w:rFonts w:ascii="Times New Roman" w:hAnsi="Times New Roman" w:cs="Times New Roman"/>
          <w:sz w:val="28"/>
          <w:szCs w:val="28"/>
        </w:rPr>
        <w:t xml:space="preserve"> Целесообразно было исследовать спектральные характеристики СИД с помощью монохроматора УМ-2, которое позволило оценить области их излучения, а также длины волн, на которые приходится максимум интенсивности излучения. Полученные данные позволили определить материалы изготовления светодиодов.</w:t>
      </w:r>
    </w:p>
    <w:sectPr w:rsidR="007B337E" w:rsidRPr="00756A98" w:rsidSect="007B33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40"/>
    <w:rsid w:val="00256BBE"/>
    <w:rsid w:val="002746F2"/>
    <w:rsid w:val="004D5C00"/>
    <w:rsid w:val="005574CD"/>
    <w:rsid w:val="006B7A93"/>
    <w:rsid w:val="007435C3"/>
    <w:rsid w:val="00756A98"/>
    <w:rsid w:val="007B337E"/>
    <w:rsid w:val="00947FF2"/>
    <w:rsid w:val="009672F3"/>
    <w:rsid w:val="009F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C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D5C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C0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C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D5C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C0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1050;&#1091;&#1088;&#1089;&#1086;&#1074;&#1072;&#1103;.%20&#1060;&#1080;&#1079;&#1080;&#1082;&#1072;\&#1069;&#1082;&#1089;&#1087;&#1077;&#1088;&#1080;&#1084;&#1077;&#1085;&#1090;&#1099;\&#1042;&#1057;&#104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Прямые</a:t>
            </a:r>
            <a:r>
              <a:rPr lang="ru-RU" sz="1200" baseline="0">
                <a:latin typeface="Times New Roman" pitchFamily="18" charset="0"/>
                <a:cs typeface="Times New Roman" pitchFamily="18" charset="0"/>
              </a:rPr>
              <a:t> ветви </a:t>
            </a:r>
            <a:r>
              <a:rPr lang="ru-RU" sz="1200">
                <a:latin typeface="Times New Roman" pitchFamily="18" charset="0"/>
                <a:cs typeface="Times New Roman" pitchFamily="18" charset="0"/>
              </a:rPr>
              <a:t>ВАХ светодиодов</a:t>
            </a:r>
          </a:p>
        </c:rich>
      </c:tx>
      <c:layout>
        <c:manualLayout>
          <c:xMode val="edge"/>
          <c:yMode val="edge"/>
          <c:x val="0.28041381473922938"/>
          <c:y val="2.1795605608238081E-2"/>
        </c:manualLayout>
      </c:layout>
      <c:overlay val="0"/>
    </c:title>
    <c:autoTitleDeleted val="0"/>
    <c:plotArea>
      <c:layout>
        <c:manualLayout>
          <c:layoutTarget val="inner"/>
          <c:xMode val="edge"/>
          <c:yMode val="edge"/>
          <c:x val="9.6525096525098372E-2"/>
          <c:y val="0.11524822798259295"/>
          <c:w val="0.83103013583156049"/>
          <c:h val="0.75265906918751713"/>
        </c:manualLayout>
      </c:layout>
      <c:scatterChart>
        <c:scatterStyle val="smoothMarker"/>
        <c:varyColors val="0"/>
        <c:ser>
          <c:idx val="0"/>
          <c:order val="0"/>
          <c:tx>
            <c:strRef>
              <c:f>Лист3!$A$1</c:f>
              <c:strCache>
                <c:ptCount val="1"/>
                <c:pt idx="0">
                  <c:v>КИПМ01В</c:v>
                </c:pt>
              </c:strCache>
            </c:strRef>
          </c:tx>
          <c:xVal>
            <c:numRef>
              <c:f>Лист3!$A$11:$A$59</c:f>
              <c:numCache>
                <c:formatCode>General</c:formatCode>
                <c:ptCount val="49"/>
                <c:pt idx="0">
                  <c:v>1.62</c:v>
                </c:pt>
                <c:pt idx="1">
                  <c:v>1.6300000000000001</c:v>
                </c:pt>
                <c:pt idx="2">
                  <c:v>1.6400000000000001</c:v>
                </c:pt>
                <c:pt idx="3">
                  <c:v>1.6500000000000001</c:v>
                </c:pt>
                <c:pt idx="4">
                  <c:v>1.6600000000000001</c:v>
                </c:pt>
                <c:pt idx="5">
                  <c:v>1.6700000000000021</c:v>
                </c:pt>
                <c:pt idx="6">
                  <c:v>1.6800000000000077</c:v>
                </c:pt>
                <c:pt idx="7">
                  <c:v>1.6900000000000077</c:v>
                </c:pt>
                <c:pt idx="8">
                  <c:v>1.7000000000000011</c:v>
                </c:pt>
                <c:pt idx="9">
                  <c:v>1.7100000000000011</c:v>
                </c:pt>
                <c:pt idx="10">
                  <c:v>1.7200000000000011</c:v>
                </c:pt>
                <c:pt idx="11">
                  <c:v>1.7300000000000011</c:v>
                </c:pt>
                <c:pt idx="12">
                  <c:v>1.7400000000000011</c:v>
                </c:pt>
                <c:pt idx="13">
                  <c:v>1.7500000000000011</c:v>
                </c:pt>
                <c:pt idx="14">
                  <c:v>1.7600000000000011</c:v>
                </c:pt>
                <c:pt idx="15">
                  <c:v>1.7700000000000011</c:v>
                </c:pt>
                <c:pt idx="16">
                  <c:v>1.7800000000000011</c:v>
                </c:pt>
                <c:pt idx="17">
                  <c:v>1.7900000000000011</c:v>
                </c:pt>
                <c:pt idx="18">
                  <c:v>1.8</c:v>
                </c:pt>
                <c:pt idx="19">
                  <c:v>1.81</c:v>
                </c:pt>
                <c:pt idx="20">
                  <c:v>1.82</c:v>
                </c:pt>
                <c:pt idx="21">
                  <c:v>1.83</c:v>
                </c:pt>
                <c:pt idx="22">
                  <c:v>1.84</c:v>
                </c:pt>
                <c:pt idx="23">
                  <c:v>1.85</c:v>
                </c:pt>
                <c:pt idx="24">
                  <c:v>1.86</c:v>
                </c:pt>
                <c:pt idx="25">
                  <c:v>1.87</c:v>
                </c:pt>
                <c:pt idx="26">
                  <c:v>1.9000000000000001</c:v>
                </c:pt>
                <c:pt idx="27">
                  <c:v>1.9600000000000066</c:v>
                </c:pt>
                <c:pt idx="28">
                  <c:v>2</c:v>
                </c:pt>
                <c:pt idx="29">
                  <c:v>2.08</c:v>
                </c:pt>
                <c:pt idx="30">
                  <c:v>2.13</c:v>
                </c:pt>
                <c:pt idx="31">
                  <c:v>2.1800000000000002</c:v>
                </c:pt>
                <c:pt idx="32">
                  <c:v>2.21</c:v>
                </c:pt>
                <c:pt idx="33">
                  <c:v>2.25</c:v>
                </c:pt>
                <c:pt idx="34">
                  <c:v>2.2799999999999998</c:v>
                </c:pt>
                <c:pt idx="35">
                  <c:v>2.2999999999999998</c:v>
                </c:pt>
                <c:pt idx="36">
                  <c:v>2.3299999999999987</c:v>
                </c:pt>
                <c:pt idx="37">
                  <c:v>2.3499999999999988</c:v>
                </c:pt>
                <c:pt idx="38">
                  <c:v>2.38</c:v>
                </c:pt>
                <c:pt idx="39">
                  <c:v>2.4</c:v>
                </c:pt>
                <c:pt idx="40">
                  <c:v>2.42</c:v>
                </c:pt>
                <c:pt idx="41">
                  <c:v>2.44</c:v>
                </c:pt>
                <c:pt idx="42">
                  <c:v>2.46</c:v>
                </c:pt>
                <c:pt idx="43">
                  <c:v>2.4699999999999998</c:v>
                </c:pt>
                <c:pt idx="44">
                  <c:v>2.4899999999999998</c:v>
                </c:pt>
                <c:pt idx="45">
                  <c:v>2.5099999999999998</c:v>
                </c:pt>
                <c:pt idx="46">
                  <c:v>2.5299999999999998</c:v>
                </c:pt>
                <c:pt idx="47">
                  <c:v>2.61</c:v>
                </c:pt>
                <c:pt idx="48">
                  <c:v>2.68</c:v>
                </c:pt>
              </c:numCache>
            </c:numRef>
          </c:xVal>
          <c:yVal>
            <c:numRef>
              <c:f>Лист3!$B$11:$B$59</c:f>
              <c:numCache>
                <c:formatCode>General</c:formatCode>
                <c:ptCount val="49"/>
                <c:pt idx="0">
                  <c:v>8.0000000000000224E-2</c:v>
                </c:pt>
                <c:pt idx="1">
                  <c:v>9.0000000000000066E-2</c:v>
                </c:pt>
                <c:pt idx="2">
                  <c:v>0.1</c:v>
                </c:pt>
                <c:pt idx="3">
                  <c:v>0.11000000000000007</c:v>
                </c:pt>
                <c:pt idx="4">
                  <c:v>0.12000000000000002</c:v>
                </c:pt>
                <c:pt idx="5">
                  <c:v>0.13</c:v>
                </c:pt>
                <c:pt idx="6">
                  <c:v>0.15000000000000024</c:v>
                </c:pt>
                <c:pt idx="7">
                  <c:v>0.16000000000000014</c:v>
                </c:pt>
                <c:pt idx="8">
                  <c:v>0.18000000000000024</c:v>
                </c:pt>
                <c:pt idx="9">
                  <c:v>0.2</c:v>
                </c:pt>
                <c:pt idx="10">
                  <c:v>0.22000000000000014</c:v>
                </c:pt>
                <c:pt idx="11">
                  <c:v>0.25</c:v>
                </c:pt>
                <c:pt idx="12">
                  <c:v>0.28000000000000008</c:v>
                </c:pt>
                <c:pt idx="13">
                  <c:v>0.31000000000000194</c:v>
                </c:pt>
                <c:pt idx="14">
                  <c:v>0.33000000000000246</c:v>
                </c:pt>
                <c:pt idx="15">
                  <c:v>0.38000000000000217</c:v>
                </c:pt>
                <c:pt idx="16">
                  <c:v>0.42000000000000032</c:v>
                </c:pt>
                <c:pt idx="17">
                  <c:v>0.45</c:v>
                </c:pt>
                <c:pt idx="18">
                  <c:v>0.47000000000000008</c:v>
                </c:pt>
                <c:pt idx="19">
                  <c:v>0.52</c:v>
                </c:pt>
                <c:pt idx="20">
                  <c:v>0.55000000000000004</c:v>
                </c:pt>
                <c:pt idx="21">
                  <c:v>0.60000000000000064</c:v>
                </c:pt>
                <c:pt idx="22">
                  <c:v>0.64000000000000434</c:v>
                </c:pt>
                <c:pt idx="23">
                  <c:v>0.69000000000000161</c:v>
                </c:pt>
                <c:pt idx="24">
                  <c:v>0.750000000000004</c:v>
                </c:pt>
                <c:pt idx="25">
                  <c:v>0.81</c:v>
                </c:pt>
                <c:pt idx="26">
                  <c:v>1</c:v>
                </c:pt>
                <c:pt idx="27">
                  <c:v>1.5</c:v>
                </c:pt>
                <c:pt idx="28">
                  <c:v>2.04</c:v>
                </c:pt>
                <c:pt idx="29">
                  <c:v>3.03</c:v>
                </c:pt>
                <c:pt idx="30">
                  <c:v>4.05</c:v>
                </c:pt>
                <c:pt idx="31">
                  <c:v>5.04</c:v>
                </c:pt>
                <c:pt idx="32">
                  <c:v>6.03</c:v>
                </c:pt>
                <c:pt idx="33">
                  <c:v>7.02</c:v>
                </c:pt>
                <c:pt idx="34">
                  <c:v>8.0400000000000009</c:v>
                </c:pt>
                <c:pt idx="35">
                  <c:v>9.0500000000000007</c:v>
                </c:pt>
                <c:pt idx="36">
                  <c:v>10.07</c:v>
                </c:pt>
                <c:pt idx="37">
                  <c:v>11.03</c:v>
                </c:pt>
                <c:pt idx="38">
                  <c:v>12.06</c:v>
                </c:pt>
                <c:pt idx="39">
                  <c:v>13.07</c:v>
                </c:pt>
                <c:pt idx="40">
                  <c:v>14.03</c:v>
                </c:pt>
                <c:pt idx="41">
                  <c:v>15</c:v>
                </c:pt>
                <c:pt idx="42">
                  <c:v>16.04</c:v>
                </c:pt>
                <c:pt idx="43">
                  <c:v>17.02</c:v>
                </c:pt>
                <c:pt idx="44">
                  <c:v>18.05</c:v>
                </c:pt>
                <c:pt idx="45">
                  <c:v>19</c:v>
                </c:pt>
                <c:pt idx="46">
                  <c:v>20</c:v>
                </c:pt>
                <c:pt idx="47">
                  <c:v>25</c:v>
                </c:pt>
                <c:pt idx="48">
                  <c:v>30</c:v>
                </c:pt>
              </c:numCache>
            </c:numRef>
          </c:yVal>
          <c:smooth val="1"/>
        </c:ser>
        <c:ser>
          <c:idx val="1"/>
          <c:order val="1"/>
          <c:tx>
            <c:strRef>
              <c:f>Лист3!$D$1</c:f>
              <c:strCache>
                <c:ptCount val="1"/>
                <c:pt idx="0">
                  <c:v>АЛ307АМ</c:v>
                </c:pt>
              </c:strCache>
            </c:strRef>
          </c:tx>
          <c:xVal>
            <c:numRef>
              <c:f>Лист3!$D$10:$D$31</c:f>
              <c:numCache>
                <c:formatCode>General</c:formatCode>
                <c:ptCount val="22"/>
                <c:pt idx="0">
                  <c:v>1.5</c:v>
                </c:pt>
                <c:pt idx="1">
                  <c:v>1.5</c:v>
                </c:pt>
                <c:pt idx="2">
                  <c:v>1.51</c:v>
                </c:pt>
                <c:pt idx="3">
                  <c:v>1.52</c:v>
                </c:pt>
                <c:pt idx="4">
                  <c:v>1.53</c:v>
                </c:pt>
                <c:pt idx="5">
                  <c:v>1.54</c:v>
                </c:pt>
                <c:pt idx="6">
                  <c:v>1.55</c:v>
                </c:pt>
                <c:pt idx="7">
                  <c:v>1.56</c:v>
                </c:pt>
                <c:pt idx="8">
                  <c:v>1.57</c:v>
                </c:pt>
                <c:pt idx="9">
                  <c:v>1.58</c:v>
                </c:pt>
                <c:pt idx="10">
                  <c:v>1.59</c:v>
                </c:pt>
                <c:pt idx="11">
                  <c:v>1.6</c:v>
                </c:pt>
                <c:pt idx="12">
                  <c:v>1.61</c:v>
                </c:pt>
                <c:pt idx="13">
                  <c:v>1.62</c:v>
                </c:pt>
                <c:pt idx="14">
                  <c:v>1.6300000000000001</c:v>
                </c:pt>
                <c:pt idx="15">
                  <c:v>1.6400000000000001</c:v>
                </c:pt>
                <c:pt idx="16">
                  <c:v>1.6500000000000001</c:v>
                </c:pt>
                <c:pt idx="17">
                  <c:v>1.6600000000000001</c:v>
                </c:pt>
                <c:pt idx="18">
                  <c:v>1.6700000000000021</c:v>
                </c:pt>
                <c:pt idx="19">
                  <c:v>1.6800000000000077</c:v>
                </c:pt>
                <c:pt idx="20">
                  <c:v>1.6900000000000077</c:v>
                </c:pt>
                <c:pt idx="21">
                  <c:v>1.7000000000000011</c:v>
                </c:pt>
              </c:numCache>
            </c:numRef>
          </c:xVal>
          <c:yVal>
            <c:numRef>
              <c:f>Лист3!$E$10:$E$31</c:f>
              <c:numCache>
                <c:formatCode>General</c:formatCode>
                <c:ptCount val="22"/>
                <c:pt idx="0">
                  <c:v>0.30000000000000032</c:v>
                </c:pt>
                <c:pt idx="1">
                  <c:v>0.30000000000000032</c:v>
                </c:pt>
                <c:pt idx="2">
                  <c:v>0.35000000000000031</c:v>
                </c:pt>
                <c:pt idx="3">
                  <c:v>0.45</c:v>
                </c:pt>
                <c:pt idx="4">
                  <c:v>0.55000000000000004</c:v>
                </c:pt>
                <c:pt idx="5">
                  <c:v>0.70000000000000062</c:v>
                </c:pt>
                <c:pt idx="6">
                  <c:v>0.92</c:v>
                </c:pt>
                <c:pt idx="7">
                  <c:v>1.2</c:v>
                </c:pt>
                <c:pt idx="8">
                  <c:v>1.57</c:v>
                </c:pt>
                <c:pt idx="9">
                  <c:v>2</c:v>
                </c:pt>
                <c:pt idx="10">
                  <c:v>3.02</c:v>
                </c:pt>
                <c:pt idx="11">
                  <c:v>4.01</c:v>
                </c:pt>
                <c:pt idx="12">
                  <c:v>5</c:v>
                </c:pt>
                <c:pt idx="13">
                  <c:v>6.01</c:v>
                </c:pt>
                <c:pt idx="14">
                  <c:v>7.04</c:v>
                </c:pt>
                <c:pt idx="15">
                  <c:v>8.0300000000000011</c:v>
                </c:pt>
                <c:pt idx="16">
                  <c:v>10</c:v>
                </c:pt>
                <c:pt idx="17">
                  <c:v>11.11</c:v>
                </c:pt>
                <c:pt idx="18">
                  <c:v>13.41</c:v>
                </c:pt>
                <c:pt idx="19">
                  <c:v>15.8</c:v>
                </c:pt>
                <c:pt idx="20">
                  <c:v>18.829999999999988</c:v>
                </c:pt>
                <c:pt idx="21">
                  <c:v>20.3</c:v>
                </c:pt>
              </c:numCache>
            </c:numRef>
          </c:yVal>
          <c:smooth val="1"/>
        </c:ser>
        <c:ser>
          <c:idx val="2"/>
          <c:order val="2"/>
          <c:tx>
            <c:strRef>
              <c:f>Лист3!$G$1</c:f>
              <c:strCache>
                <c:ptCount val="1"/>
                <c:pt idx="0">
                  <c:v>АЛ102АМ</c:v>
                </c:pt>
              </c:strCache>
            </c:strRef>
          </c:tx>
          <c:xVal>
            <c:numRef>
              <c:f>Лист3!$G$10:$G$39</c:f>
              <c:numCache>
                <c:formatCode>General</c:formatCode>
                <c:ptCount val="30"/>
                <c:pt idx="0">
                  <c:v>1.7200000000000011</c:v>
                </c:pt>
                <c:pt idx="1">
                  <c:v>1.7400000000000011</c:v>
                </c:pt>
                <c:pt idx="2">
                  <c:v>1.7500000000000011</c:v>
                </c:pt>
                <c:pt idx="3">
                  <c:v>1.7600000000000011</c:v>
                </c:pt>
                <c:pt idx="4">
                  <c:v>1.7700000000000011</c:v>
                </c:pt>
                <c:pt idx="5">
                  <c:v>1.7700000000000011</c:v>
                </c:pt>
                <c:pt idx="6">
                  <c:v>1.7800000000000011</c:v>
                </c:pt>
                <c:pt idx="7">
                  <c:v>1.7900000000000011</c:v>
                </c:pt>
                <c:pt idx="8">
                  <c:v>1.8</c:v>
                </c:pt>
                <c:pt idx="9">
                  <c:v>1.82</c:v>
                </c:pt>
                <c:pt idx="10">
                  <c:v>1.85</c:v>
                </c:pt>
                <c:pt idx="11">
                  <c:v>1.8900000000000001</c:v>
                </c:pt>
                <c:pt idx="12">
                  <c:v>1.9300000000000066</c:v>
                </c:pt>
                <c:pt idx="13">
                  <c:v>1.9700000000000066</c:v>
                </c:pt>
                <c:pt idx="14">
                  <c:v>2</c:v>
                </c:pt>
                <c:pt idx="15">
                  <c:v>2.0299999999999998</c:v>
                </c:pt>
                <c:pt idx="16">
                  <c:v>2.06</c:v>
                </c:pt>
                <c:pt idx="17">
                  <c:v>2.08</c:v>
                </c:pt>
                <c:pt idx="18">
                  <c:v>2.11</c:v>
                </c:pt>
                <c:pt idx="19">
                  <c:v>2.13</c:v>
                </c:pt>
                <c:pt idx="20">
                  <c:v>2.14</c:v>
                </c:pt>
                <c:pt idx="21">
                  <c:v>2.16</c:v>
                </c:pt>
                <c:pt idx="22">
                  <c:v>2.1800000000000002</c:v>
                </c:pt>
                <c:pt idx="23">
                  <c:v>2.19</c:v>
                </c:pt>
                <c:pt idx="24">
                  <c:v>2.21</c:v>
                </c:pt>
                <c:pt idx="25">
                  <c:v>2.2200000000000002</c:v>
                </c:pt>
                <c:pt idx="26">
                  <c:v>2.2400000000000002</c:v>
                </c:pt>
                <c:pt idx="27">
                  <c:v>2.25</c:v>
                </c:pt>
                <c:pt idx="28">
                  <c:v>2.2599999999999998</c:v>
                </c:pt>
                <c:pt idx="29">
                  <c:v>2.2799999999999998</c:v>
                </c:pt>
              </c:numCache>
            </c:numRef>
          </c:xVal>
          <c:yVal>
            <c:numRef>
              <c:f>Лист3!$H$10:$H$39</c:f>
              <c:numCache>
                <c:formatCode>General</c:formatCode>
                <c:ptCount val="30"/>
                <c:pt idx="0">
                  <c:v>0.2</c:v>
                </c:pt>
                <c:pt idx="1">
                  <c:v>0.30000000000000032</c:v>
                </c:pt>
                <c:pt idx="2">
                  <c:v>0.35000000000000031</c:v>
                </c:pt>
                <c:pt idx="3">
                  <c:v>0.4</c:v>
                </c:pt>
                <c:pt idx="4">
                  <c:v>0.45</c:v>
                </c:pt>
                <c:pt idx="5">
                  <c:v>0.5</c:v>
                </c:pt>
                <c:pt idx="6">
                  <c:v>0.55000000000000004</c:v>
                </c:pt>
                <c:pt idx="7">
                  <c:v>0.60000000000000064</c:v>
                </c:pt>
                <c:pt idx="8">
                  <c:v>0.72000000000000064</c:v>
                </c:pt>
                <c:pt idx="9">
                  <c:v>1.04</c:v>
                </c:pt>
                <c:pt idx="10">
                  <c:v>1.35</c:v>
                </c:pt>
                <c:pt idx="11">
                  <c:v>2.02</c:v>
                </c:pt>
                <c:pt idx="12">
                  <c:v>3.01</c:v>
                </c:pt>
                <c:pt idx="13">
                  <c:v>4.07</c:v>
                </c:pt>
                <c:pt idx="14">
                  <c:v>5.01</c:v>
                </c:pt>
                <c:pt idx="15">
                  <c:v>6.05</c:v>
                </c:pt>
                <c:pt idx="16">
                  <c:v>7.04</c:v>
                </c:pt>
                <c:pt idx="17">
                  <c:v>8.07</c:v>
                </c:pt>
                <c:pt idx="18">
                  <c:v>9.07</c:v>
                </c:pt>
                <c:pt idx="19">
                  <c:v>10.1</c:v>
                </c:pt>
                <c:pt idx="20">
                  <c:v>11.04</c:v>
                </c:pt>
                <c:pt idx="21">
                  <c:v>12.05</c:v>
                </c:pt>
                <c:pt idx="22">
                  <c:v>13.1</c:v>
                </c:pt>
                <c:pt idx="23">
                  <c:v>14.06</c:v>
                </c:pt>
                <c:pt idx="24">
                  <c:v>15.08</c:v>
                </c:pt>
                <c:pt idx="25">
                  <c:v>16</c:v>
                </c:pt>
                <c:pt idx="26">
                  <c:v>17</c:v>
                </c:pt>
                <c:pt idx="27">
                  <c:v>18.02</c:v>
                </c:pt>
                <c:pt idx="28">
                  <c:v>19</c:v>
                </c:pt>
                <c:pt idx="29">
                  <c:v>20</c:v>
                </c:pt>
              </c:numCache>
            </c:numRef>
          </c:yVal>
          <c:smooth val="1"/>
        </c:ser>
        <c:dLbls>
          <c:showLegendKey val="0"/>
          <c:showVal val="0"/>
          <c:showCatName val="0"/>
          <c:showSerName val="0"/>
          <c:showPercent val="0"/>
          <c:showBubbleSize val="0"/>
        </c:dLbls>
        <c:axId val="123325440"/>
        <c:axId val="123331712"/>
      </c:scatterChart>
      <c:valAx>
        <c:axId val="123325440"/>
        <c:scaling>
          <c:orientation val="minMax"/>
          <c:max val="3"/>
          <c:min val="1.3"/>
        </c:scaling>
        <c:delete val="0"/>
        <c:axPos val="b"/>
        <c:majorGridlines/>
        <c:min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U, B</a:t>
                </a:r>
              </a:p>
            </c:rich>
          </c:tx>
          <c:layout>
            <c:manualLayout>
              <c:xMode val="edge"/>
              <c:yMode val="edge"/>
              <c:x val="0.92487005994970695"/>
              <c:y val="0.89419989168020775"/>
            </c:manualLayout>
          </c:layout>
          <c:overlay val="0"/>
        </c:title>
        <c:numFmt formatCode="General" sourceLinked="1"/>
        <c:majorTickMark val="out"/>
        <c:minorTickMark val="none"/>
        <c:tickLblPos val="nextTo"/>
        <c:txPr>
          <a:bodyPr rot="0" vert="horz"/>
          <a:lstStyle/>
          <a:p>
            <a:pPr>
              <a:defRPr/>
            </a:pPr>
            <a:endParaRPr lang="ru-RU"/>
          </a:p>
        </c:txPr>
        <c:crossAx val="123331712"/>
        <c:crosses val="autoZero"/>
        <c:crossBetween val="midCat"/>
      </c:valAx>
      <c:valAx>
        <c:axId val="123331712"/>
        <c:scaling>
          <c:orientation val="minMax"/>
        </c:scaling>
        <c:delete val="0"/>
        <c:axPos val="l"/>
        <c:majorGridlines/>
        <c:min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I, </a:t>
                </a:r>
                <a:r>
                  <a:rPr lang="ru-RU" sz="1200">
                    <a:latin typeface="Times New Roman" pitchFamily="18" charset="0"/>
                    <a:cs typeface="Times New Roman" pitchFamily="18" charset="0"/>
                  </a:rPr>
                  <a:t>м</a:t>
                </a:r>
                <a:r>
                  <a:rPr lang="en-US" sz="1200">
                    <a:latin typeface="Times New Roman" pitchFamily="18" charset="0"/>
                    <a:cs typeface="Times New Roman" pitchFamily="18" charset="0"/>
                  </a:rPr>
                  <a:t>A</a:t>
                </a:r>
              </a:p>
            </c:rich>
          </c:tx>
          <c:layout>
            <c:manualLayout>
              <c:xMode val="edge"/>
              <c:yMode val="edge"/>
              <c:x val="5.7462817147856685E-2"/>
              <c:y val="1.8283241397043487E-2"/>
            </c:manualLayout>
          </c:layout>
          <c:overlay val="0"/>
        </c:title>
        <c:numFmt formatCode="General" sourceLinked="1"/>
        <c:majorTickMark val="out"/>
        <c:minorTickMark val="none"/>
        <c:tickLblPos val="nextTo"/>
        <c:txPr>
          <a:bodyPr rot="0" vert="horz"/>
          <a:lstStyle/>
          <a:p>
            <a:pPr>
              <a:defRPr/>
            </a:pPr>
            <a:endParaRPr lang="ru-RU"/>
          </a:p>
        </c:txPr>
        <c:crossAx val="123325440"/>
        <c:crosses val="autoZero"/>
        <c:crossBetween val="midCat"/>
      </c:valAx>
    </c:plotArea>
    <c:legend>
      <c:legendPos val="b"/>
      <c:layout>
        <c:manualLayout>
          <c:xMode val="edge"/>
          <c:yMode val="edge"/>
          <c:x val="9.820248800260914E-2"/>
          <c:y val="0.9257364204939067"/>
          <c:w val="0.89962812340765097"/>
          <c:h val="7.0335958005249333E-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2012-09-17T04:39:00Z</dcterms:created>
  <dcterms:modified xsi:type="dcterms:W3CDTF">2014-03-28T16:43:00Z</dcterms:modified>
</cp:coreProperties>
</file>