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CF" w:rsidRDefault="008D0ACF" w:rsidP="008D0ACF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370840</wp:posOffset>
            </wp:positionV>
            <wp:extent cx="1850390" cy="1842135"/>
            <wp:effectExtent l="19050" t="0" r="0" b="0"/>
            <wp:wrapTight wrapText="bothSides">
              <wp:wrapPolygon edited="0">
                <wp:start x="11786" y="670"/>
                <wp:lineTo x="5115" y="2234"/>
                <wp:lineTo x="2446" y="3351"/>
                <wp:lineTo x="2891" y="7818"/>
                <wp:lineTo x="1779" y="11392"/>
                <wp:lineTo x="-222" y="14519"/>
                <wp:lineTo x="-222" y="16083"/>
                <wp:lineTo x="1557" y="18540"/>
                <wp:lineTo x="2446" y="21444"/>
                <wp:lineTo x="2891" y="21444"/>
                <wp:lineTo x="6226" y="21444"/>
                <wp:lineTo x="7783" y="21444"/>
                <wp:lineTo x="17790" y="18987"/>
                <wp:lineTo x="18902" y="18540"/>
                <wp:lineTo x="21570" y="16083"/>
                <wp:lineTo x="21570" y="14743"/>
                <wp:lineTo x="21348" y="14072"/>
                <wp:lineTo x="20236" y="10722"/>
                <wp:lineTo x="17345" y="8265"/>
                <wp:lineTo x="16011" y="7818"/>
                <wp:lineTo x="17345" y="4467"/>
                <wp:lineTo x="17568" y="3574"/>
                <wp:lineTo x="15566" y="1117"/>
                <wp:lineTo x="14677" y="670"/>
                <wp:lineTo x="11786" y="670"/>
              </wp:wrapPolygon>
            </wp:wrapTight>
            <wp:docPr id="7" name="Рисунок 7" descr="D:\Мои документы\разное\с компьютера\графика\графика\школа\AS1567T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разное\с компьютера\графика\графика\школа\AS1567T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B2A">
        <w:rPr>
          <w:rFonts w:ascii="Comic Sans MS" w:hAnsi="Comic Sans MS"/>
          <w:sz w:val="40"/>
        </w:rPr>
        <w:t>Методика Ривина</w:t>
      </w:r>
    </w:p>
    <w:p w:rsidR="008D0ACF" w:rsidRPr="008D0ACF" w:rsidRDefault="008D0ACF" w:rsidP="008D0ACF">
      <w:pPr>
        <w:jc w:val="both"/>
        <w:rPr>
          <w:rFonts w:ascii="Comic Sans MS" w:hAnsi="Comic Sans MS"/>
          <w:i/>
          <w:sz w:val="24"/>
          <w:szCs w:val="24"/>
        </w:rPr>
      </w:pPr>
      <w:r w:rsidRPr="008D0ACF">
        <w:rPr>
          <w:rFonts w:ascii="Comic Sans MS" w:hAnsi="Comic Sans MS"/>
          <w:i/>
          <w:sz w:val="24"/>
          <w:szCs w:val="24"/>
        </w:rPr>
        <w:t>- для изучения сложных научных, учебных, художественных текстов.</w:t>
      </w:r>
    </w:p>
    <w:p w:rsidR="008D0ACF" w:rsidRPr="008D0ACF" w:rsidRDefault="008D0ACF" w:rsidP="008D0ACF">
      <w:pPr>
        <w:jc w:val="both"/>
        <w:rPr>
          <w:rFonts w:ascii="Comic Sans MS" w:hAnsi="Comic Sans MS"/>
          <w:sz w:val="24"/>
          <w:szCs w:val="24"/>
        </w:rPr>
      </w:pPr>
      <w:r w:rsidRPr="008D0ACF">
        <w:rPr>
          <w:rFonts w:ascii="Comic Sans MS" w:hAnsi="Comic Sans MS"/>
          <w:sz w:val="24"/>
          <w:szCs w:val="24"/>
        </w:rPr>
        <w:t>Каждый участник получает тему и прорабатывает ее поабзацно в парах сменного состава следующим образом:</w:t>
      </w:r>
    </w:p>
    <w:p w:rsidR="008D0ACF" w:rsidRPr="008D0ACF" w:rsidRDefault="008D0ACF" w:rsidP="008D0AC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D0ACF">
        <w:rPr>
          <w:rFonts w:ascii="Comic Sans MS" w:hAnsi="Comic Sans MS"/>
          <w:sz w:val="24"/>
          <w:szCs w:val="24"/>
        </w:rPr>
        <w:t>Учащийся изучает текст.</w:t>
      </w:r>
    </w:p>
    <w:p w:rsidR="008D0ACF" w:rsidRPr="008D0ACF" w:rsidRDefault="008D0ACF" w:rsidP="008D0AC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D0ACF">
        <w:rPr>
          <w:rFonts w:ascii="Comic Sans MS" w:hAnsi="Comic Sans MS"/>
          <w:sz w:val="24"/>
          <w:szCs w:val="24"/>
        </w:rPr>
        <w:t>Находит себе напарника.</w:t>
      </w:r>
    </w:p>
    <w:p w:rsidR="008D0ACF" w:rsidRPr="008D0ACF" w:rsidRDefault="008D0ACF" w:rsidP="008D0AC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D0ACF">
        <w:rPr>
          <w:rFonts w:ascii="Comic Sans MS" w:hAnsi="Comic Sans MS"/>
          <w:sz w:val="24"/>
          <w:szCs w:val="24"/>
        </w:rPr>
        <w:t>Прорабатывает первый абзац текста сначала самостоятельно, а затем с напарником.</w:t>
      </w:r>
    </w:p>
    <w:p w:rsidR="008D0ACF" w:rsidRPr="008D0ACF" w:rsidRDefault="008D0ACF" w:rsidP="008D0AC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D0ACF">
        <w:rPr>
          <w:rFonts w:ascii="Comic Sans MS" w:hAnsi="Comic Sans MS"/>
          <w:sz w:val="24"/>
          <w:szCs w:val="24"/>
        </w:rPr>
        <w:t>Пересказывает содержание абзаца напарнику, используя опорный материал, затем выслушивает его.</w:t>
      </w:r>
    </w:p>
    <w:p w:rsidR="008D0ACF" w:rsidRPr="008D0ACF" w:rsidRDefault="008D0ACF" w:rsidP="008D0AC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D0ACF">
        <w:rPr>
          <w:rFonts w:ascii="Comic Sans MS" w:hAnsi="Comic Sans MS"/>
          <w:sz w:val="24"/>
          <w:szCs w:val="24"/>
        </w:rPr>
        <w:t>Для работы со вторым абзацем  учащийся находит себе следующего напарника.</w:t>
      </w:r>
    </w:p>
    <w:p w:rsidR="008D0ACF" w:rsidRPr="008D0ACF" w:rsidRDefault="008D0ACF" w:rsidP="008D0AC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D0ACF">
        <w:rPr>
          <w:rFonts w:ascii="Comic Sans MS" w:hAnsi="Comic Sans MS"/>
          <w:sz w:val="24"/>
          <w:szCs w:val="24"/>
        </w:rPr>
        <w:t>Прорабатывает с  ним также текст</w:t>
      </w:r>
      <w:r>
        <w:rPr>
          <w:rFonts w:ascii="Comic Sans MS" w:hAnsi="Comic Sans MS"/>
          <w:sz w:val="24"/>
          <w:szCs w:val="24"/>
        </w:rPr>
        <w:t>.</w:t>
      </w:r>
    </w:p>
    <w:p w:rsidR="008D0ACF" w:rsidRPr="008D0ACF" w:rsidRDefault="008D0ACF" w:rsidP="008D0AC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D0ACF">
        <w:rPr>
          <w:rFonts w:ascii="Comic Sans MS" w:hAnsi="Comic Sans MS"/>
          <w:sz w:val="24"/>
          <w:szCs w:val="24"/>
        </w:rPr>
        <w:t>Пересказывает ему содержание текста, начиная с первого абзаца.</w:t>
      </w:r>
    </w:p>
    <w:p w:rsidR="008D0ACF" w:rsidRPr="008D0ACF" w:rsidRDefault="008D0ACF" w:rsidP="008D0AC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D0ACF">
        <w:rPr>
          <w:rFonts w:ascii="Comic Sans MS" w:hAnsi="Comic Sans MS"/>
          <w:sz w:val="24"/>
          <w:szCs w:val="24"/>
        </w:rPr>
        <w:t>и т.д….</w:t>
      </w:r>
    </w:p>
    <w:p w:rsidR="008D0ACF" w:rsidRDefault="008D0ACF" w:rsidP="008D0ACF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8D0ACF">
        <w:rPr>
          <w:rFonts w:ascii="Comic Sans MS" w:hAnsi="Comic Sans MS"/>
          <w:i/>
          <w:sz w:val="24"/>
          <w:szCs w:val="24"/>
        </w:rPr>
        <w:t>Данная методика позволяет более тщательно и детально разобраться в теме.</w:t>
      </w:r>
      <w:r w:rsidRPr="008D0AC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8D0ACF" w:rsidRPr="008D0ACF" w:rsidRDefault="008D0ACF" w:rsidP="008D0ACF">
      <w:pPr>
        <w:pBdr>
          <w:bottom w:val="single" w:sz="12" w:space="1" w:color="auto"/>
        </w:pBdr>
        <w:jc w:val="both"/>
        <w:rPr>
          <w:rFonts w:ascii="Comic Sans MS" w:hAnsi="Comic Sans MS"/>
          <w:i/>
          <w:sz w:val="24"/>
          <w:szCs w:val="24"/>
        </w:rPr>
      </w:pPr>
    </w:p>
    <w:p w:rsidR="003E309A" w:rsidRPr="00C278D3" w:rsidRDefault="003E309A" w:rsidP="003E309A">
      <w:pPr>
        <w:pStyle w:val="2"/>
        <w:spacing w:line="360" w:lineRule="auto"/>
        <w:ind w:firstLine="0"/>
        <w:rPr>
          <w:rFonts w:ascii="Comic Sans MS" w:hAnsi="Comic Sans MS"/>
          <w:sz w:val="36"/>
        </w:rPr>
      </w:pPr>
      <w:r w:rsidRPr="00C278D3">
        <w:rPr>
          <w:rFonts w:ascii="Comic Sans MS" w:hAnsi="Comic Sans MS"/>
          <w:sz w:val="36"/>
        </w:rPr>
        <w:t>Сравнительная таблица</w:t>
      </w:r>
    </w:p>
    <w:p w:rsidR="00E72811" w:rsidRPr="00BB4923" w:rsidRDefault="00E72811" w:rsidP="00E72811">
      <w:pPr>
        <w:tabs>
          <w:tab w:val="left" w:pos="8222"/>
        </w:tabs>
        <w:ind w:right="-1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923">
        <w:rPr>
          <w:rFonts w:ascii="Times New Roman" w:hAnsi="Times New Roman" w:cs="Times New Roman"/>
          <w:sz w:val="24"/>
          <w:szCs w:val="24"/>
        </w:rPr>
        <w:t xml:space="preserve">Цель работы - </w:t>
      </w:r>
      <w:r w:rsidRPr="00BB4923">
        <w:rPr>
          <w:rFonts w:ascii="Times New Roman" w:eastAsia="Calibri" w:hAnsi="Times New Roman" w:cs="Times New Roman"/>
          <w:sz w:val="24"/>
          <w:szCs w:val="24"/>
        </w:rPr>
        <w:t xml:space="preserve"> найти сходства и различия сравниваемого и сделать на основании сравнения вывод.</w:t>
      </w:r>
    </w:p>
    <w:p w:rsidR="003E309A" w:rsidRPr="00BB4923" w:rsidRDefault="003E309A" w:rsidP="003E309A">
      <w:pPr>
        <w:pStyle w:val="2"/>
        <w:spacing w:line="360" w:lineRule="auto"/>
        <w:ind w:firstLine="0"/>
        <w:jc w:val="both"/>
        <w:rPr>
          <w:u w:val="single"/>
        </w:rPr>
      </w:pPr>
      <w:r w:rsidRPr="00BB4923">
        <w:rPr>
          <w:u w:val="single"/>
        </w:rPr>
        <w:t>Правила создания таблицы:</w:t>
      </w:r>
    </w:p>
    <w:p w:rsidR="008069F2" w:rsidRPr="00BB4923" w:rsidRDefault="006B51CC" w:rsidP="008069F2">
      <w:pPr>
        <w:pStyle w:val="2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jc w:val="both"/>
      </w:pPr>
      <w:r w:rsidRPr="00BB4923">
        <w:t>Вни</w:t>
      </w:r>
      <w:r w:rsidR="008069F2" w:rsidRPr="00BB4923">
        <w:t>мательно ознакомиться с необходимым для сравнения материалом.</w:t>
      </w:r>
    </w:p>
    <w:p w:rsidR="008069F2" w:rsidRPr="00BB4923" w:rsidRDefault="008069F2" w:rsidP="008069F2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923">
        <w:rPr>
          <w:rFonts w:ascii="Times New Roman" w:eastAsia="Calibri" w:hAnsi="Times New Roman" w:cs="Times New Roman"/>
          <w:sz w:val="24"/>
          <w:szCs w:val="24"/>
        </w:rPr>
        <w:t>Разлиновать лист таким образом:</w:t>
      </w:r>
    </w:p>
    <w:p w:rsidR="008069F2" w:rsidRPr="00BB4923" w:rsidRDefault="008069F2" w:rsidP="008069F2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923">
        <w:rPr>
          <w:rFonts w:ascii="Times New Roman" w:eastAsia="Calibri" w:hAnsi="Times New Roman" w:cs="Times New Roman"/>
          <w:sz w:val="24"/>
          <w:szCs w:val="24"/>
        </w:rPr>
        <w:t xml:space="preserve">первая колонка таблицы – всегда для </w:t>
      </w:r>
      <w:r w:rsidR="003E309A" w:rsidRPr="00BB4923">
        <w:rPr>
          <w:rFonts w:ascii="Times New Roman" w:eastAsia="Calibri" w:hAnsi="Times New Roman" w:cs="Times New Roman"/>
          <w:sz w:val="24"/>
          <w:szCs w:val="24"/>
        </w:rPr>
        <w:t>критериев сравнения;</w:t>
      </w:r>
    </w:p>
    <w:p w:rsidR="003E309A" w:rsidRPr="00BB4923" w:rsidRDefault="003E309A" w:rsidP="008069F2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923">
        <w:rPr>
          <w:rFonts w:ascii="Times New Roman" w:eastAsia="Calibri" w:hAnsi="Times New Roman" w:cs="Times New Roman"/>
          <w:sz w:val="24"/>
          <w:szCs w:val="24"/>
        </w:rPr>
        <w:t>количество вертикальных колонок зависит от количества сравниваемых объектов материала;</w:t>
      </w:r>
    </w:p>
    <w:p w:rsidR="008069F2" w:rsidRPr="00BB4923" w:rsidRDefault="003E309A" w:rsidP="008069F2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923">
        <w:rPr>
          <w:rFonts w:ascii="Times New Roman" w:eastAsia="Calibri" w:hAnsi="Times New Roman" w:cs="Times New Roman"/>
          <w:sz w:val="24"/>
          <w:szCs w:val="24"/>
        </w:rPr>
        <w:t>по горизонтали – критерии сравнения, заполняются таким образом,</w:t>
      </w:r>
      <w:r w:rsidR="008069F2" w:rsidRPr="00BB4923">
        <w:rPr>
          <w:rFonts w:ascii="Times New Roman" w:eastAsia="Calibri" w:hAnsi="Times New Roman" w:cs="Times New Roman"/>
          <w:sz w:val="24"/>
          <w:szCs w:val="24"/>
        </w:rPr>
        <w:t xml:space="preserve"> чтобы каждый критерий был написан на одном уровне с ответом на него. </w:t>
      </w:r>
    </w:p>
    <w:p w:rsidR="008069F2" w:rsidRPr="00BB4923" w:rsidRDefault="008069F2" w:rsidP="008069F2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923">
        <w:rPr>
          <w:rFonts w:ascii="Times New Roman" w:eastAsia="Calibri" w:hAnsi="Times New Roman" w:cs="Times New Roman"/>
          <w:sz w:val="24"/>
          <w:szCs w:val="24"/>
        </w:rPr>
        <w:t>После заполнения таблицы сделать вывод, соответствующий проведённому сравнению.</w:t>
      </w:r>
    </w:p>
    <w:p w:rsidR="008D0ACF" w:rsidRPr="00BB4923" w:rsidRDefault="003E309A" w:rsidP="003E309A">
      <w:pPr>
        <w:tabs>
          <w:tab w:val="left" w:pos="1247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B4923">
        <w:rPr>
          <w:rFonts w:ascii="Times New Roman" w:hAnsi="Times New Roman" w:cs="Times New Roman"/>
          <w:sz w:val="24"/>
          <w:szCs w:val="24"/>
          <w:u w:val="single"/>
        </w:rPr>
        <w:t>Пример: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3E309A" w:rsidRPr="00BB4923" w:rsidTr="009113A1">
        <w:tc>
          <w:tcPr>
            <w:tcW w:w="2605" w:type="dxa"/>
          </w:tcPr>
          <w:p w:rsidR="003E309A" w:rsidRPr="00BB4923" w:rsidRDefault="003E309A" w:rsidP="003E309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23">
              <w:rPr>
                <w:rFonts w:ascii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7816" w:type="dxa"/>
            <w:gridSpan w:val="3"/>
          </w:tcPr>
          <w:p w:rsidR="003E309A" w:rsidRPr="00BB4923" w:rsidRDefault="003E309A" w:rsidP="003E309A">
            <w:pPr>
              <w:tabs>
                <w:tab w:val="left" w:pos="12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23">
              <w:rPr>
                <w:rFonts w:ascii="Times New Roman" w:hAnsi="Times New Roman" w:cs="Times New Roman"/>
                <w:sz w:val="24"/>
                <w:szCs w:val="24"/>
              </w:rPr>
              <w:t>Объекты сравнения</w:t>
            </w:r>
          </w:p>
        </w:tc>
      </w:tr>
      <w:tr w:rsidR="003E309A" w:rsidRPr="00BB4923" w:rsidTr="003E309A">
        <w:tc>
          <w:tcPr>
            <w:tcW w:w="2605" w:type="dxa"/>
          </w:tcPr>
          <w:p w:rsidR="003E309A" w:rsidRPr="00BB4923" w:rsidRDefault="003E309A" w:rsidP="003E309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23">
              <w:rPr>
                <w:rFonts w:ascii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2605" w:type="dxa"/>
          </w:tcPr>
          <w:p w:rsidR="003E309A" w:rsidRPr="00BB4923" w:rsidRDefault="00B32BA7" w:rsidP="003E309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23">
              <w:rPr>
                <w:rFonts w:ascii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2605" w:type="dxa"/>
          </w:tcPr>
          <w:p w:rsidR="003E309A" w:rsidRPr="00BB4923" w:rsidRDefault="00B32BA7" w:rsidP="003E309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23">
              <w:rPr>
                <w:rFonts w:ascii="Times New Roman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2606" w:type="dxa"/>
          </w:tcPr>
          <w:p w:rsidR="003E309A" w:rsidRPr="00BB4923" w:rsidRDefault="00B32BA7" w:rsidP="003E309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2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E309A" w:rsidRPr="00BB4923" w:rsidTr="003E309A">
        <w:tc>
          <w:tcPr>
            <w:tcW w:w="2605" w:type="dxa"/>
          </w:tcPr>
          <w:p w:rsidR="003E309A" w:rsidRPr="00BB4923" w:rsidRDefault="003E309A" w:rsidP="003E309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23">
              <w:rPr>
                <w:rFonts w:ascii="Times New Roman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2605" w:type="dxa"/>
          </w:tcPr>
          <w:p w:rsidR="003E309A" w:rsidRPr="00BB4923" w:rsidRDefault="003E309A" w:rsidP="003E309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3E309A" w:rsidRPr="00BB4923" w:rsidRDefault="003E309A" w:rsidP="003E309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E309A" w:rsidRPr="00BB4923" w:rsidRDefault="003E309A" w:rsidP="003E309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9A" w:rsidRPr="00BB4923" w:rsidTr="003E309A">
        <w:tc>
          <w:tcPr>
            <w:tcW w:w="2605" w:type="dxa"/>
          </w:tcPr>
          <w:p w:rsidR="003E309A" w:rsidRPr="00BB4923" w:rsidRDefault="00B32BA7" w:rsidP="003E309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23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05" w:type="dxa"/>
          </w:tcPr>
          <w:p w:rsidR="003E309A" w:rsidRPr="00BB4923" w:rsidRDefault="003E309A" w:rsidP="003E309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3E309A" w:rsidRPr="00BB4923" w:rsidRDefault="003E309A" w:rsidP="003E309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E309A" w:rsidRPr="00BB4923" w:rsidRDefault="003E309A" w:rsidP="003E309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923" w:rsidRPr="00BB4923" w:rsidRDefault="00BB4923" w:rsidP="003E309A">
      <w:pPr>
        <w:tabs>
          <w:tab w:val="left" w:pos="124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B32BA7" w:rsidRPr="00C278D3" w:rsidRDefault="00B32BA7" w:rsidP="003E309A">
      <w:pPr>
        <w:tabs>
          <w:tab w:val="left" w:pos="1247"/>
        </w:tabs>
        <w:rPr>
          <w:rFonts w:ascii="Times New Roman" w:hAnsi="Times New Roman" w:cs="Times New Roman"/>
          <w:sz w:val="24"/>
          <w:szCs w:val="24"/>
        </w:rPr>
      </w:pPr>
      <w:r w:rsidRPr="00C278D3">
        <w:rPr>
          <w:rFonts w:ascii="Times New Roman" w:hAnsi="Times New Roman" w:cs="Times New Roman"/>
          <w:sz w:val="24"/>
          <w:szCs w:val="24"/>
        </w:rPr>
        <w:t>Вывод: (обязательное условие при составлении сравнительной таблицы)</w:t>
      </w:r>
    </w:p>
    <w:p w:rsidR="000B3E14" w:rsidRPr="003A007B" w:rsidRDefault="000B3E14" w:rsidP="000B3E14">
      <w:pPr>
        <w:jc w:val="center"/>
        <w:rPr>
          <w:rFonts w:ascii="Comic Sans MS" w:hAnsi="Comic Sans MS" w:cs="Times New Roman"/>
          <w:b/>
          <w:sz w:val="36"/>
          <w:szCs w:val="24"/>
        </w:rPr>
      </w:pPr>
      <w:r w:rsidRPr="003A007B">
        <w:rPr>
          <w:rFonts w:ascii="Comic Sans MS" w:hAnsi="Comic Sans MS" w:cs="Times New Roman"/>
          <w:b/>
          <w:sz w:val="36"/>
          <w:szCs w:val="24"/>
        </w:rPr>
        <w:lastRenderedPageBreak/>
        <w:t>Ментальная карта</w:t>
      </w:r>
    </w:p>
    <w:p w:rsidR="000B3E14" w:rsidRPr="003A007B" w:rsidRDefault="003A007B" w:rsidP="000B3E14">
      <w:pPr>
        <w:jc w:val="both"/>
        <w:rPr>
          <w:rFonts w:ascii="Times New Roman" w:hAnsi="Times New Roman" w:cs="Times New Roman"/>
          <w:sz w:val="28"/>
          <w:szCs w:val="24"/>
        </w:rPr>
      </w:pPr>
      <w:r w:rsidRPr="003A007B">
        <w:rPr>
          <w:rFonts w:ascii="Times New Roman" w:hAnsi="Times New Roman" w:cs="Times New Roman"/>
          <w:sz w:val="28"/>
          <w:szCs w:val="24"/>
        </w:rPr>
        <w:t xml:space="preserve">- </w:t>
      </w:r>
      <w:r w:rsidR="00A00054" w:rsidRPr="003A007B">
        <w:rPr>
          <w:rFonts w:ascii="Times New Roman" w:hAnsi="Times New Roman" w:cs="Times New Roman"/>
          <w:sz w:val="28"/>
          <w:szCs w:val="24"/>
        </w:rPr>
        <w:t xml:space="preserve"> это удобная и эффективная техника визуализации мышления и альтернативной записи. Ее можно применять для создания новых идей</w:t>
      </w:r>
      <w:r w:rsidR="00E03531" w:rsidRPr="003A007B">
        <w:rPr>
          <w:rFonts w:ascii="Times New Roman" w:hAnsi="Times New Roman" w:cs="Times New Roman"/>
          <w:sz w:val="28"/>
          <w:szCs w:val="24"/>
        </w:rPr>
        <w:t>, фиксации идей, анализа и упорядочивания информации и т.д.</w:t>
      </w:r>
    </w:p>
    <w:p w:rsidR="00E03531" w:rsidRPr="003A007B" w:rsidRDefault="00E03531" w:rsidP="000B3E1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A007B">
        <w:rPr>
          <w:rFonts w:ascii="Times New Roman" w:hAnsi="Times New Roman" w:cs="Times New Roman"/>
          <w:b/>
          <w:sz w:val="28"/>
          <w:szCs w:val="24"/>
        </w:rPr>
        <w:t>Как создать ментальную карту?</w:t>
      </w:r>
    </w:p>
    <w:p w:rsidR="00E03531" w:rsidRPr="003A007B" w:rsidRDefault="00E03531" w:rsidP="00E035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A007B">
        <w:rPr>
          <w:rFonts w:ascii="Times New Roman" w:hAnsi="Times New Roman" w:cs="Times New Roman"/>
          <w:sz w:val="28"/>
          <w:szCs w:val="24"/>
        </w:rPr>
        <w:t xml:space="preserve">В центре листа следует </w:t>
      </w:r>
      <w:proofErr w:type="gramStart"/>
      <w:r w:rsidRPr="003A007B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3A007B">
        <w:rPr>
          <w:rFonts w:ascii="Times New Roman" w:hAnsi="Times New Roman" w:cs="Times New Roman"/>
          <w:sz w:val="28"/>
          <w:szCs w:val="24"/>
        </w:rPr>
        <w:t xml:space="preserve"> центральную идею или мысль, концепт. Лучше его разукрасить или выполнить в виде рисунка.</w:t>
      </w:r>
    </w:p>
    <w:p w:rsidR="00E03531" w:rsidRPr="003A007B" w:rsidRDefault="00E03531" w:rsidP="00E035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A007B">
        <w:rPr>
          <w:rFonts w:ascii="Times New Roman" w:hAnsi="Times New Roman" w:cs="Times New Roman"/>
          <w:sz w:val="28"/>
          <w:szCs w:val="24"/>
        </w:rPr>
        <w:t>Далее следует провести линии к углам листа. Их следует «обозначить», т.е. подписав ключевыми словами. Использовать нужно такие слова, которые будут достаточно «говорящими», чтобы заставить вас создать или восстановить</w:t>
      </w:r>
      <w:r w:rsidR="001C6248" w:rsidRPr="003A007B">
        <w:rPr>
          <w:rFonts w:ascii="Times New Roman" w:hAnsi="Times New Roman" w:cs="Times New Roman"/>
          <w:sz w:val="28"/>
          <w:szCs w:val="24"/>
        </w:rPr>
        <w:t xml:space="preserve"> ассоциативную цепочку, вспомнить определенные образы или мысли. Это основные ветви.</w:t>
      </w:r>
    </w:p>
    <w:p w:rsidR="001C6248" w:rsidRPr="003A007B" w:rsidRDefault="001C6248" w:rsidP="00E035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A007B">
        <w:rPr>
          <w:rFonts w:ascii="Times New Roman" w:hAnsi="Times New Roman" w:cs="Times New Roman"/>
          <w:sz w:val="28"/>
          <w:szCs w:val="24"/>
        </w:rPr>
        <w:t>Дальнейшее дробление на ветви будет отображать все более и более мелкие детали.</w:t>
      </w:r>
    </w:p>
    <w:p w:rsidR="001C6248" w:rsidRPr="003A007B" w:rsidRDefault="001C6248" w:rsidP="00E035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A007B">
        <w:rPr>
          <w:rFonts w:ascii="Times New Roman" w:hAnsi="Times New Roman" w:cs="Times New Roman"/>
          <w:sz w:val="28"/>
          <w:szCs w:val="24"/>
        </w:rPr>
        <w:t xml:space="preserve">Для того чтобы схема воспринималась максимально эффективно, лучше использовать различные цвета, особые обозначения, значки, картинки. Играйте </w:t>
      </w:r>
      <w:r w:rsidR="00DC5BE6" w:rsidRPr="003A007B">
        <w:rPr>
          <w:rFonts w:ascii="Times New Roman" w:hAnsi="Times New Roman" w:cs="Times New Roman"/>
          <w:sz w:val="28"/>
          <w:szCs w:val="24"/>
        </w:rPr>
        <w:t>с буквами, их формой и размером.</w:t>
      </w:r>
    </w:p>
    <w:p w:rsidR="00DC5BE6" w:rsidRPr="003A007B" w:rsidRDefault="00DC5BE6" w:rsidP="00E03531">
      <w:pPr>
        <w:pStyle w:val="a3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4"/>
        </w:rPr>
      </w:pPr>
      <w:r w:rsidRPr="003A007B">
        <w:rPr>
          <w:rFonts w:ascii="Times New Roman" w:hAnsi="Times New Roman" w:cs="Times New Roman"/>
          <w:sz w:val="28"/>
          <w:szCs w:val="24"/>
        </w:rPr>
        <w:t>Итог такого творчества – не линейная, а радиальная запись.</w:t>
      </w:r>
    </w:p>
    <w:p w:rsidR="003A007B" w:rsidRPr="003A007B" w:rsidRDefault="003A007B" w:rsidP="003A007B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78A2" w:rsidRPr="003103B6" w:rsidRDefault="001B78A2" w:rsidP="001B78A2">
      <w:pPr>
        <w:spacing w:after="0" w:line="360" w:lineRule="auto"/>
        <w:ind w:left="360"/>
        <w:jc w:val="center"/>
        <w:rPr>
          <w:rFonts w:ascii="Comic Sans MS" w:eastAsia="Calibri" w:hAnsi="Comic Sans MS" w:cs="Times New Roman"/>
          <w:sz w:val="40"/>
          <w:szCs w:val="28"/>
        </w:rPr>
      </w:pPr>
      <w:r w:rsidRPr="00504B2A">
        <w:rPr>
          <w:rFonts w:ascii="Comic Sans MS" w:hAnsi="Comic Sans MS"/>
          <w:sz w:val="40"/>
          <w:szCs w:val="28"/>
        </w:rPr>
        <w:t>Семиотика</w:t>
      </w:r>
    </w:p>
    <w:p w:rsidR="001B78A2" w:rsidRPr="000B657A" w:rsidRDefault="001B78A2" w:rsidP="001B78A2">
      <w:pPr>
        <w:jc w:val="both"/>
        <w:rPr>
          <w:rFonts w:ascii="Comic Sans MS" w:hAnsi="Comic Sans MS"/>
          <w:sz w:val="24"/>
          <w:szCs w:val="24"/>
        </w:rPr>
      </w:pPr>
      <w:r w:rsidRPr="000B657A">
        <w:rPr>
          <w:rFonts w:ascii="Comic Sans MS" w:hAnsi="Comic Sans MS"/>
          <w:sz w:val="24"/>
          <w:szCs w:val="24"/>
        </w:rPr>
        <w:t>(</w:t>
      </w:r>
      <w:proofErr w:type="gramStart"/>
      <w:r w:rsidRPr="000B657A">
        <w:rPr>
          <w:rFonts w:ascii="Comic Sans MS" w:hAnsi="Comic Sans MS"/>
          <w:sz w:val="24"/>
          <w:szCs w:val="24"/>
        </w:rPr>
        <w:t>от</w:t>
      </w:r>
      <w:proofErr w:type="gramEnd"/>
      <w:r w:rsidRPr="000B657A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0B657A">
        <w:rPr>
          <w:rFonts w:ascii="Comic Sans MS" w:hAnsi="Comic Sans MS"/>
          <w:sz w:val="24"/>
          <w:szCs w:val="24"/>
        </w:rPr>
        <w:t>греческий</w:t>
      </w:r>
      <w:proofErr w:type="gramEnd"/>
      <w:r w:rsidRPr="000B657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657A">
        <w:rPr>
          <w:rFonts w:ascii="Comic Sans MS" w:hAnsi="Comic Sans MS"/>
          <w:sz w:val="24"/>
          <w:szCs w:val="24"/>
        </w:rPr>
        <w:t>semeion</w:t>
      </w:r>
      <w:proofErr w:type="spellEnd"/>
      <w:r w:rsidRPr="000B657A">
        <w:rPr>
          <w:rFonts w:ascii="Comic Sans MS" w:hAnsi="Comic Sans MS"/>
          <w:sz w:val="24"/>
          <w:szCs w:val="24"/>
        </w:rPr>
        <w:t xml:space="preserve"> - знак, признак), наука, исследующая способы передачи информации, свойства знаков и знаковых систем в человеческом обществе (главным образом естественные и искусственные языки, а также некоторые явления культуры, системы мифа, ритуала), природе (коммуникация в мире животных) или в самом человеке (зрительное и слуховое восприятие и другие).</w:t>
      </w:r>
    </w:p>
    <w:p w:rsidR="000B657A" w:rsidRPr="000B657A" w:rsidRDefault="000B657A" w:rsidP="001B78A2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0B657A">
        <w:rPr>
          <w:rFonts w:ascii="Comic Sans MS" w:hAnsi="Comic Sans MS"/>
          <w:b/>
          <w:sz w:val="24"/>
          <w:szCs w:val="24"/>
          <w:u w:val="single"/>
        </w:rPr>
        <w:t>Базовая классификация знаков:</w:t>
      </w:r>
    </w:p>
    <w:p w:rsidR="000B657A" w:rsidRDefault="000B657A" w:rsidP="000B657A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0B657A">
        <w:rPr>
          <w:rFonts w:ascii="Comic Sans MS" w:hAnsi="Comic Sans MS"/>
          <w:sz w:val="24"/>
          <w:szCs w:val="24"/>
        </w:rPr>
        <w:t>Знаки-иконы, изобразительные знаки, в которых означаемое и означающее связаны между собой по подобию</w:t>
      </w:r>
      <w:r>
        <w:rPr>
          <w:rFonts w:ascii="Comic Sans MS" w:hAnsi="Comic Sans MS"/>
          <w:sz w:val="24"/>
          <w:szCs w:val="24"/>
        </w:rPr>
        <w:t>.</w:t>
      </w:r>
    </w:p>
    <w:p w:rsidR="000B657A" w:rsidRDefault="000B657A" w:rsidP="000B657A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Знаки-индексы, в которых означаемое и означающее связаны между собой по расположенности во времени или в пространстве (дорожные знаки, номер автомобиля, музыкальный ключ, знак бесконечности и т.д.).</w:t>
      </w:r>
    </w:p>
    <w:p w:rsidR="001B78A2" w:rsidRDefault="000B657A" w:rsidP="000B3E14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Знаки-символы, в которых означаемое и означающее связаны между собой в рамках некоторой конвенции, т.е. как бы по предварительной договоренности (схемы предложений, символическое изображение любого объекта и </w:t>
      </w:r>
      <w:proofErr w:type="spellStart"/>
      <w:r>
        <w:rPr>
          <w:rFonts w:ascii="Comic Sans MS" w:hAnsi="Comic Sans MS"/>
          <w:sz w:val="24"/>
          <w:szCs w:val="24"/>
        </w:rPr>
        <w:t>т.д</w:t>
      </w:r>
      <w:proofErr w:type="spellEnd"/>
      <w:r w:rsidR="00CA5EA7">
        <w:rPr>
          <w:rFonts w:ascii="Comic Sans MS" w:hAnsi="Comic Sans MS"/>
          <w:sz w:val="24"/>
          <w:szCs w:val="24"/>
        </w:rPr>
        <w:t>).</w:t>
      </w:r>
      <w:bookmarkStart w:id="0" w:name="_GoBack"/>
      <w:bookmarkEnd w:id="0"/>
    </w:p>
    <w:sectPr w:rsidR="001B78A2" w:rsidSect="008D0AC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420"/>
    <w:multiLevelType w:val="hybridMultilevel"/>
    <w:tmpl w:val="14C0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445A5"/>
    <w:multiLevelType w:val="hybridMultilevel"/>
    <w:tmpl w:val="952E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58C6"/>
    <w:multiLevelType w:val="hybridMultilevel"/>
    <w:tmpl w:val="952E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742C3"/>
    <w:multiLevelType w:val="hybridMultilevel"/>
    <w:tmpl w:val="14C0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E2D82"/>
    <w:multiLevelType w:val="hybridMultilevel"/>
    <w:tmpl w:val="FAEE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6466A"/>
    <w:multiLevelType w:val="hybridMultilevel"/>
    <w:tmpl w:val="25F6B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376300"/>
    <w:multiLevelType w:val="hybridMultilevel"/>
    <w:tmpl w:val="952E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ACF"/>
    <w:rsid w:val="00035CF2"/>
    <w:rsid w:val="000B3681"/>
    <w:rsid w:val="000B3E14"/>
    <w:rsid w:val="000B657A"/>
    <w:rsid w:val="001A3DFB"/>
    <w:rsid w:val="001B78A2"/>
    <w:rsid w:val="001C6248"/>
    <w:rsid w:val="002718E3"/>
    <w:rsid w:val="003A007B"/>
    <w:rsid w:val="003E309A"/>
    <w:rsid w:val="004F7AB8"/>
    <w:rsid w:val="005B17EF"/>
    <w:rsid w:val="006B51CC"/>
    <w:rsid w:val="008069F2"/>
    <w:rsid w:val="008D0ACF"/>
    <w:rsid w:val="00A00054"/>
    <w:rsid w:val="00A05457"/>
    <w:rsid w:val="00B26A65"/>
    <w:rsid w:val="00B32BA7"/>
    <w:rsid w:val="00B46E39"/>
    <w:rsid w:val="00BB4923"/>
    <w:rsid w:val="00C278D3"/>
    <w:rsid w:val="00CA5EA7"/>
    <w:rsid w:val="00D060A4"/>
    <w:rsid w:val="00DC5BE6"/>
    <w:rsid w:val="00E03531"/>
    <w:rsid w:val="00E72811"/>
    <w:rsid w:val="00F8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CF"/>
    <w:pPr>
      <w:ind w:left="720"/>
      <w:contextualSpacing/>
    </w:pPr>
  </w:style>
  <w:style w:type="paragraph" w:styleId="a4">
    <w:name w:val="Body Text Indent"/>
    <w:basedOn w:val="a"/>
    <w:link w:val="a5"/>
    <w:rsid w:val="008069F2"/>
    <w:pPr>
      <w:spacing w:after="0" w:line="240" w:lineRule="auto"/>
      <w:ind w:left="567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069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069F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69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E3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Аня</cp:lastModifiedBy>
  <cp:revision>24</cp:revision>
  <cp:lastPrinted>2013-12-10T14:30:00Z</cp:lastPrinted>
  <dcterms:created xsi:type="dcterms:W3CDTF">2013-12-10T09:56:00Z</dcterms:created>
  <dcterms:modified xsi:type="dcterms:W3CDTF">2015-03-23T05:26:00Z</dcterms:modified>
</cp:coreProperties>
</file>