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90" w:rsidRPr="005B6024" w:rsidRDefault="005B6024" w:rsidP="005B6024">
      <w:pPr>
        <w:jc w:val="center"/>
        <w:rPr>
          <w:sz w:val="32"/>
          <w:szCs w:val="32"/>
        </w:rPr>
      </w:pPr>
      <w:r w:rsidRPr="005B6024">
        <w:rPr>
          <w:sz w:val="32"/>
          <w:szCs w:val="32"/>
        </w:rPr>
        <w:t>Отчёт о состоянии внеурочной деятельности.</w:t>
      </w:r>
    </w:p>
    <w:p w:rsidR="00BB6590" w:rsidRPr="005B6024" w:rsidRDefault="00BB6590" w:rsidP="005B6024">
      <w:pPr>
        <w:jc w:val="center"/>
        <w:rPr>
          <w:sz w:val="32"/>
          <w:szCs w:val="32"/>
        </w:rPr>
      </w:pPr>
    </w:p>
    <w:p w:rsidR="00BB6590" w:rsidRPr="005B6024" w:rsidRDefault="005B6024" w:rsidP="005B6024">
      <w:pPr>
        <w:spacing w:line="480" w:lineRule="auto"/>
        <w:jc w:val="center"/>
        <w:rPr>
          <w:sz w:val="28"/>
          <w:szCs w:val="28"/>
        </w:rPr>
      </w:pPr>
      <w:r w:rsidRPr="005B6024">
        <w:rPr>
          <w:sz w:val="28"/>
          <w:szCs w:val="28"/>
        </w:rPr>
        <w:t xml:space="preserve">1 «А» класс – Вамбольд </w:t>
      </w:r>
      <w:r>
        <w:rPr>
          <w:sz w:val="28"/>
          <w:szCs w:val="28"/>
        </w:rPr>
        <w:t>Наталья Анатольевна</w:t>
      </w:r>
    </w:p>
    <w:p w:rsidR="00BB6590" w:rsidRDefault="008B58D9" w:rsidP="00BB6590">
      <w:r>
        <w:t>Цель</w:t>
      </w:r>
      <w:r w:rsidR="00AB2FB2">
        <w:t xml:space="preserve"> моей</w:t>
      </w:r>
      <w:r>
        <w:t xml:space="preserve"> внеурочной деятельности: разработать и внедрить модель организации внеурочной деятельности в условиях реализации ФГОС и тем  самым</w:t>
      </w:r>
      <w:r w:rsidR="00AB2FB2">
        <w:t xml:space="preserve"> оптимизировать процесс воспитания и социализации младших школьников.</w:t>
      </w:r>
    </w:p>
    <w:p w:rsidR="00AB2FB2" w:rsidRDefault="00AB2FB2" w:rsidP="00BB6590">
      <w:r>
        <w:t>Кружок «</w:t>
      </w:r>
      <w:proofErr w:type="gramStart"/>
      <w:r>
        <w:t>Я-</w:t>
      </w:r>
      <w:proofErr w:type="gramEnd"/>
      <w:r>
        <w:t xml:space="preserve"> исследователь». Дети развивали не только творческие способности, но и учились работать в группах, создавая общий проект. Такая деятельность способствовала сплочению коллектива, воспитывала чувство ответственности в каждом ребёнке за общее дело. Каждый старался в меру своих способностей поучаствовать в создании проекта. Работа вызывала живой интерес</w:t>
      </w:r>
      <w:r w:rsidR="00B2095E">
        <w:t xml:space="preserve"> у детей.</w:t>
      </w:r>
    </w:p>
    <w:p w:rsidR="00B2095E" w:rsidRDefault="00B2095E" w:rsidP="00BB6590">
      <w:r>
        <w:t>Наши первые проекты: «Моя школа и мой класс», «Моя семья», «Моя малая Родина», «Загадки для тех, кто умнее всех», «Цветочная поляна»</w:t>
      </w:r>
      <w:r w:rsidR="000F57EE">
        <w:t>, «Мой дом».</w:t>
      </w:r>
    </w:p>
    <w:p w:rsidR="00B2095E" w:rsidRDefault="00B2095E" w:rsidP="00BB6590">
      <w:r>
        <w:t>Ученица 1 «А» класс</w:t>
      </w:r>
      <w:proofErr w:type="gramStart"/>
      <w:r>
        <w:t>а-</w:t>
      </w:r>
      <w:proofErr w:type="gramEnd"/>
      <w:r>
        <w:t xml:space="preserve"> Вамбольд Ольга была участницей Н.П.К. «Шаг в науку»- секция «Первые шаги» по теме «Почему снег белый</w:t>
      </w:r>
      <w:r w:rsidR="00144F22">
        <w:t>?»</w:t>
      </w:r>
    </w:p>
    <w:p w:rsidR="00144F22" w:rsidRDefault="00144F22" w:rsidP="00BB6590">
      <w:r>
        <w:t>Дети 1 «А»  класса приняли участие в районном конкурсе «Книжк</w:t>
      </w:r>
      <w:proofErr w:type="gramStart"/>
      <w:r>
        <w:t>а-</w:t>
      </w:r>
      <w:proofErr w:type="gramEnd"/>
      <w:r>
        <w:t xml:space="preserve"> малышка»- проект по правилам дорожного движения. Появились первые результаты. Козина Карина- 2 место </w:t>
      </w:r>
    </w:p>
    <w:p w:rsidR="00144F22" w:rsidRDefault="00144F22" w:rsidP="00BB6590">
      <w:r>
        <w:t>(район).</w:t>
      </w:r>
    </w:p>
    <w:p w:rsidR="00144F22" w:rsidRDefault="00144F22" w:rsidP="00BB6590">
      <w:r>
        <w:t>Кружок «Дорога добра» способствовал формированию нравственных принципов, духовных ценностей. Одна из главных задач научить детей понимать ценность милосердия</w:t>
      </w:r>
      <w:r w:rsidR="00F50859">
        <w:t xml:space="preserve">, создать мотивацию к совершению хороших поступков. В рамках этого кружка много времени уделялось просмотру детских мультфильмов, их обсуждению. </w:t>
      </w:r>
      <w:proofErr w:type="gramStart"/>
      <w:r w:rsidR="00F50859">
        <w:t>Практическая работа в кружке - изготовление открыток, поделок к23 февраля, 8Марта, Новый год и т. д.</w:t>
      </w:r>
      <w:r w:rsidR="004525E2">
        <w:t xml:space="preserve"> Есть и победители конкурса «Новогодняя игрушка» - Климентьев Максим (1 место), </w:t>
      </w:r>
      <w:r w:rsidR="00070818">
        <w:t xml:space="preserve">Козина Карина (2 место), Свириденко Полина (2 место), Савина Алина (3 место), </w:t>
      </w:r>
      <w:proofErr w:type="spellStart"/>
      <w:r w:rsidR="00070818">
        <w:t>Орипова</w:t>
      </w:r>
      <w:proofErr w:type="spellEnd"/>
      <w:r w:rsidR="00070818">
        <w:t xml:space="preserve"> </w:t>
      </w:r>
      <w:proofErr w:type="spellStart"/>
      <w:r w:rsidR="00070818">
        <w:t>Парвина</w:t>
      </w:r>
      <w:proofErr w:type="spellEnd"/>
      <w:r w:rsidR="00070818">
        <w:t xml:space="preserve"> (3 место).</w:t>
      </w:r>
      <w:proofErr w:type="gramEnd"/>
      <w:r w:rsidR="00070818">
        <w:t xml:space="preserve"> </w:t>
      </w:r>
      <w:r w:rsidR="00F50859">
        <w:t xml:space="preserve"> Ребята знакомились и усваивали правила поведения в окружающей среде, играли в игры.</w:t>
      </w:r>
      <w:r w:rsidR="000F57EE">
        <w:t xml:space="preserve"> Занятия в кружке способствовали речевому развитию, воспитывали бережное отношение к книге как к источнику знаний и занимательному досугу. Дети выполняли практические задания: рисунки и поделки к любимым книгам. Сценическое партнёрство учит дружить, работать в команде, помогать друг другу. Учитывая, что в школе нет педагог</w:t>
      </w:r>
      <w:proofErr w:type="gramStart"/>
      <w:r w:rsidR="000F57EE">
        <w:t>а-</w:t>
      </w:r>
      <w:proofErr w:type="gramEnd"/>
      <w:r w:rsidR="000F57EE">
        <w:t xml:space="preserve"> логопеда, участие детей в сценках и спектаклях помогают исправить дефекты речи, а у нескольких детей они есть, и весьма серьёзные.</w:t>
      </w:r>
      <w:r w:rsidR="004525E2">
        <w:t xml:space="preserve">(Горяева Таня, </w:t>
      </w:r>
      <w:proofErr w:type="spellStart"/>
      <w:r w:rsidR="004525E2">
        <w:t>Радионова</w:t>
      </w:r>
      <w:proofErr w:type="spellEnd"/>
      <w:r w:rsidR="004525E2">
        <w:t xml:space="preserve"> Полина).Кружок знакомил ребят с фольклорными праздниками, традициями и обычаями русского народа. Например: Масленичные гуляния.</w:t>
      </w:r>
      <w:r w:rsidR="00070818">
        <w:t xml:space="preserve"> Так же было проведено открытое мероприятие «Доброта – это солнце».</w:t>
      </w:r>
    </w:p>
    <w:p w:rsidR="004525E2" w:rsidRDefault="004525E2" w:rsidP="00BB6590">
      <w:r>
        <w:t xml:space="preserve">Экскурсия в школьный музей – всё это было привлекательным для детей, они получили большое удовольствие от </w:t>
      </w:r>
      <w:proofErr w:type="gramStart"/>
      <w:r>
        <w:t>увиденного</w:t>
      </w:r>
      <w:proofErr w:type="gramEnd"/>
      <w:r>
        <w:t xml:space="preserve"> и услышанного.</w:t>
      </w:r>
    </w:p>
    <w:p w:rsidR="004525E2" w:rsidRDefault="00F47B7B" w:rsidP="00BB6590">
      <w:r>
        <w:t>Кружок «Тропинка к здоровью».</w:t>
      </w:r>
    </w:p>
    <w:p w:rsidR="004525E2" w:rsidRDefault="00070818" w:rsidP="00BB6590">
      <w:r>
        <w:lastRenderedPageBreak/>
        <w:t xml:space="preserve">Забота о здоровье, как самой большой ценности в жизни человека, тоже не осталась в стороне. Для первоклассников был организован кружок с этим направлением. Ученики 1 «А» класса учились соблюдать режим дня, знакомились с правилами здорового образа жизни. В тёплое время ребята большую часть проводили на свежем воздухе на пришкольной площадке. </w:t>
      </w:r>
      <w:r w:rsidR="00ED7158">
        <w:t xml:space="preserve"> Была проведена целенаправленная работа по предупреждению простудных заболеваний с приглашением мед</w:t>
      </w:r>
      <w:proofErr w:type="gramStart"/>
      <w:r w:rsidR="00ED7158">
        <w:t>.</w:t>
      </w:r>
      <w:proofErr w:type="gramEnd"/>
      <w:r w:rsidR="00ED7158">
        <w:t xml:space="preserve"> </w:t>
      </w:r>
      <w:proofErr w:type="gramStart"/>
      <w:r w:rsidR="00ED7158">
        <w:t>р</w:t>
      </w:r>
      <w:proofErr w:type="gramEnd"/>
      <w:r w:rsidR="00ED7158">
        <w:t>аботника. Игровая программа «Здоровье – овощи плюс фрукты, плюс ягоды». Театрализованное занятие «Знаете ли вы овощи</w:t>
      </w:r>
      <w:r w:rsidR="00013802">
        <w:t xml:space="preserve">?». Проведено ряд занятий по теме «Азбука здоровья». </w:t>
      </w:r>
      <w:r>
        <w:t xml:space="preserve">При реализации внеурочной деятельности в 1 «А» классе большое внимание уделялось работе с семьёй. </w:t>
      </w:r>
      <w:r w:rsidR="00EE4D80">
        <w:t xml:space="preserve">«Ячейка общества» - место, где ребёнок получает первые представления о мире, о людях, взаимоотношениях человека и природы. Поэтому важно знать микроклимат каждой семьи, чтобы понять своих учеников. Практически в каждой семье ребёнку оказывается помощь, но </w:t>
      </w:r>
      <w:proofErr w:type="gramStart"/>
      <w:r w:rsidR="00EE4D80">
        <w:t>по</w:t>
      </w:r>
      <w:proofErr w:type="gramEnd"/>
      <w:r w:rsidR="00EE4D80">
        <w:t xml:space="preserve"> – разному. Поэтому внеурочная деятельность строилась таким образом, чтобы родители были заинтересованы в успешности ребёнка и помогали во всех делах. Родители помогали в организации некоторых мероприятий.</w:t>
      </w:r>
      <w:r w:rsidR="00AE296D">
        <w:t xml:space="preserve"> С</w:t>
      </w:r>
      <w:r w:rsidR="00ED7158">
        <w:t xml:space="preserve"> </w:t>
      </w:r>
      <w:r w:rsidR="00AE296D">
        <w:t xml:space="preserve">родителями был </w:t>
      </w:r>
      <w:proofErr w:type="spellStart"/>
      <w:r w:rsidR="00AE296D">
        <w:t>проведёно</w:t>
      </w:r>
      <w:proofErr w:type="spellEnd"/>
      <w:r w:rsidR="00AE296D">
        <w:t xml:space="preserve"> анкетирование на тему «Мой ребёнок», «Семья ученика», что позволило мне,  классному руководителю, поближе познакомиться с ученическим и родительским коллективом и правильно корректировать работу с теми и другими. </w:t>
      </w:r>
      <w:r w:rsidR="00EE4D80">
        <w:t xml:space="preserve"> Внеурочная кружковая деятельность тесно переплетается с общей воспитательной программой класса.</w:t>
      </w:r>
    </w:p>
    <w:p w:rsidR="00AE296D" w:rsidRDefault="00AE296D" w:rsidP="00BB6590">
      <w:r>
        <w:t xml:space="preserve">По результатам мониторинга эффективности внеурочной деятельности можно сделать следующие выводы: </w:t>
      </w:r>
    </w:p>
    <w:p w:rsidR="00AE296D" w:rsidRDefault="00AE296D" w:rsidP="00BB6590">
      <w:pPr>
        <w:rPr>
          <w:sz w:val="28"/>
          <w:szCs w:val="28"/>
        </w:rPr>
      </w:pPr>
      <w:r>
        <w:t xml:space="preserve">1.К концу учебного года выросла социальная активность обучающихся </w:t>
      </w:r>
      <w:proofErr w:type="gramStart"/>
      <w:r>
        <w:t xml:space="preserve">( </w:t>
      </w:r>
      <w:proofErr w:type="gramEnd"/>
      <w:r w:rsidR="00543DE8">
        <w:t>на начало учебного года желающих</w:t>
      </w:r>
      <w:r>
        <w:t xml:space="preserve"> принять участие в мероприятиях была</w:t>
      </w:r>
      <w:r w:rsidR="00543DE8">
        <w:t xml:space="preserve">- </w:t>
      </w:r>
      <w:r w:rsidR="00543DE8" w:rsidRPr="00543DE8">
        <w:rPr>
          <w:sz w:val="28"/>
          <w:szCs w:val="28"/>
        </w:rPr>
        <w:t>54,5%, на конец года – 86, 4% Виден рост – на 32%</w:t>
      </w:r>
    </w:p>
    <w:p w:rsidR="00543DE8" w:rsidRDefault="00543DE8" w:rsidP="00BB6590">
      <w:pPr>
        <w:rPr>
          <w:sz w:val="24"/>
          <w:szCs w:val="24"/>
        </w:rPr>
      </w:pPr>
      <w:r>
        <w:t xml:space="preserve">2.Сохранность контингента всех направлений внеурочной деятельности </w:t>
      </w:r>
      <w:r w:rsidR="0052577F" w:rsidRPr="0052577F">
        <w:rPr>
          <w:sz w:val="32"/>
          <w:szCs w:val="32"/>
        </w:rPr>
        <w:t>– 100%</w:t>
      </w:r>
    </w:p>
    <w:p w:rsidR="0052577F" w:rsidRDefault="0052577F" w:rsidP="00BB6590">
      <w:r>
        <w:t>3.Удовлетворённость родител</w:t>
      </w:r>
      <w:r w:rsidR="00013802">
        <w:t>ей жизнедеятельностью школы – 95,5</w:t>
      </w:r>
      <w:r>
        <w:t>%</w:t>
      </w:r>
    </w:p>
    <w:p w:rsidR="0052577F" w:rsidRDefault="0052577F" w:rsidP="00BB6590">
      <w:r>
        <w:t>4.Удовлетворённость родителей во</w:t>
      </w:r>
      <w:r w:rsidR="00013802">
        <w:t>спитательными мероприятиями – 90,9</w:t>
      </w:r>
      <w:r>
        <w:t>%</w:t>
      </w:r>
    </w:p>
    <w:p w:rsidR="0052577F" w:rsidRDefault="0052577F" w:rsidP="00BB6590">
      <w:r>
        <w:t>Так же с детьми была проведена социометрия, которая выявила 4 «лидера»- Климентьев М., Гула В., Вамбольд О.,</w:t>
      </w:r>
      <w:r w:rsidR="00C95EA4">
        <w:t xml:space="preserve"> </w:t>
      </w:r>
      <w:proofErr w:type="spellStart"/>
      <w:r w:rsidR="00C95EA4">
        <w:t>Барковский</w:t>
      </w:r>
      <w:proofErr w:type="spellEnd"/>
      <w:r w:rsidR="00C95EA4">
        <w:t xml:space="preserve"> К.</w:t>
      </w:r>
    </w:p>
    <w:p w:rsidR="00C95EA4" w:rsidRDefault="00C95EA4" w:rsidP="00BB6590">
      <w:r>
        <w:t>Однако</w:t>
      </w:r>
      <w:proofErr w:type="gramStart"/>
      <w:r>
        <w:t>,</w:t>
      </w:r>
      <w:proofErr w:type="gramEnd"/>
      <w:r>
        <w:t xml:space="preserve"> в классе нет  «изолированных».</w:t>
      </w:r>
    </w:p>
    <w:p w:rsidR="00BB6590" w:rsidRDefault="00C95EA4" w:rsidP="00BB6590">
      <w:r>
        <w:t>В целом реализация внеурочной деятельности в рамках ФГОС но</w:t>
      </w:r>
      <w:r w:rsidR="00854F16">
        <w:t>вого поколения проходит успешно.</w:t>
      </w:r>
    </w:p>
    <w:p w:rsidR="00C95EA4" w:rsidRDefault="00C95EA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C95EA4" w:rsidRDefault="00C95EA4" w:rsidP="00BB6590"/>
    <w:p w:rsidR="00BB6590" w:rsidRDefault="00BB6590" w:rsidP="00BB6590">
      <w:r>
        <w:lastRenderedPageBreak/>
        <w:t xml:space="preserve"> </w:t>
      </w:r>
    </w:p>
    <w:p w:rsidR="00C95EA4" w:rsidRDefault="00C95EA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Pr="00854F16" w:rsidRDefault="001E7290" w:rsidP="00854F16">
      <w:pPr>
        <w:jc w:val="center"/>
        <w:rPr>
          <w:sz w:val="28"/>
          <w:szCs w:val="28"/>
        </w:rPr>
      </w:pPr>
      <w:r w:rsidRPr="00854F16">
        <w:rPr>
          <w:sz w:val="28"/>
          <w:szCs w:val="28"/>
        </w:rPr>
        <w:t>В марте</w:t>
      </w:r>
      <w:r w:rsidR="00BB6590" w:rsidRPr="00854F16">
        <w:rPr>
          <w:sz w:val="28"/>
          <w:szCs w:val="28"/>
        </w:rPr>
        <w:t xml:space="preserve"> прошел классно-обобщающий контроль 1 класса по теме: «Адаптация первоклассников к обучению в школе».</w:t>
      </w:r>
    </w:p>
    <w:p w:rsidR="00BB6590" w:rsidRDefault="00BB6590" w:rsidP="00BB6590"/>
    <w:p w:rsidR="00BB6590" w:rsidRDefault="001E7290" w:rsidP="00BB6590">
      <w:r>
        <w:t xml:space="preserve">            В  классе 22 обучающихся, из них </w:t>
      </w:r>
      <w:r w:rsidR="00FE5C9D">
        <w:t>12 мальчиков и 10</w:t>
      </w:r>
      <w:r w:rsidR="00BB6590">
        <w:t xml:space="preserve"> девочек. Общий интеллектуаль</w:t>
      </w:r>
      <w:r w:rsidR="00FE5C9D">
        <w:t>ный уровень развития класса  средний</w:t>
      </w:r>
      <w:r w:rsidR="00BB6590">
        <w:t>. Большинство обучающихся  прош</w:t>
      </w:r>
      <w:r w:rsidR="00FE5C9D">
        <w:t>ли подготовку к школе в детском саду,</w:t>
      </w:r>
      <w:r w:rsidR="00BB6590">
        <w:t xml:space="preserve"> поэтому на уроках можно отметить сформированную  организацию детей.  </w:t>
      </w:r>
      <w:r w:rsidR="00DA115B">
        <w:t xml:space="preserve">  </w:t>
      </w:r>
    </w:p>
    <w:p w:rsidR="00BB6590" w:rsidRDefault="00854F16" w:rsidP="00BB6590">
      <w:r>
        <w:t xml:space="preserve">            </w:t>
      </w:r>
    </w:p>
    <w:p w:rsidR="00C95EA4" w:rsidRDefault="00C95EA4" w:rsidP="00BB6590"/>
    <w:p w:rsidR="00FE5C9D" w:rsidRDefault="00FE5C9D" w:rsidP="00BB6590">
      <w:r>
        <w:t xml:space="preserve">      </w:t>
      </w:r>
      <w:r w:rsidR="00854F16">
        <w:t xml:space="preserve">           </w:t>
      </w:r>
    </w:p>
    <w:p w:rsidR="00BB6590" w:rsidRDefault="00BB6590" w:rsidP="00BB6590">
      <w:r>
        <w:t xml:space="preserve">. </w:t>
      </w:r>
    </w:p>
    <w:p w:rsidR="00BB6590" w:rsidRDefault="00BB6590" w:rsidP="00BB6590"/>
    <w:p w:rsidR="00BB6590" w:rsidRDefault="00BB6590" w:rsidP="00BB6590"/>
    <w:p w:rsidR="00C95EA4" w:rsidRDefault="00C95EA4" w:rsidP="00BB6590"/>
    <w:p w:rsidR="00BB6590" w:rsidRDefault="00BB6590" w:rsidP="00BB6590"/>
    <w:p w:rsidR="00C95EA4" w:rsidRDefault="00C95EA4" w:rsidP="00BB6590"/>
    <w:p w:rsidR="00BB6590" w:rsidRDefault="00BB6590" w:rsidP="00BB6590">
      <w:r>
        <w:t>На  основании контроля и наблюдения, в котором приня</w:t>
      </w:r>
      <w:r w:rsidR="00FE5C9D">
        <w:t>ли участие  22ребёнка,</w:t>
      </w:r>
      <w:r>
        <w:t xml:space="preserve"> что составляет 100%,  на занятиях был  сделан следующий вывод.</w:t>
      </w:r>
    </w:p>
    <w:p w:rsidR="00BB6590" w:rsidRDefault="00BB6590" w:rsidP="00BB6590"/>
    <w:p w:rsidR="00BB6590" w:rsidRPr="00CB1552" w:rsidRDefault="00CB1552" w:rsidP="00CB1552">
      <w:pPr>
        <w:jc w:val="center"/>
        <w:rPr>
          <w:sz w:val="28"/>
          <w:szCs w:val="28"/>
        </w:rPr>
      </w:pPr>
      <w:r>
        <w:rPr>
          <w:sz w:val="28"/>
          <w:szCs w:val="28"/>
        </w:rPr>
        <w:t>Чтение:</w:t>
      </w:r>
    </w:p>
    <w:p w:rsidR="00BB6590" w:rsidRDefault="00BB6590" w:rsidP="00BB6590"/>
    <w:p w:rsidR="00BB6590" w:rsidRDefault="00276E00" w:rsidP="00276E00">
      <w:pPr>
        <w:jc w:val="center"/>
      </w:pPr>
      <w:r w:rsidRPr="00276E00">
        <w:rPr>
          <w:sz w:val="24"/>
          <w:szCs w:val="24"/>
        </w:rPr>
        <w:t>При норме техники чтения -35-40 слов в минуту</w:t>
      </w:r>
      <w:r>
        <w:t>.</w:t>
      </w:r>
    </w:p>
    <w:p w:rsidR="00276E00" w:rsidRDefault="00521561" w:rsidP="00276E00">
      <w:pPr>
        <w:jc w:val="center"/>
      </w:pPr>
      <w:r>
        <w:t>Выше нормы – 17 человек (77</w:t>
      </w:r>
      <w:r w:rsidR="00276E00">
        <w:t>%)</w:t>
      </w:r>
    </w:p>
    <w:p w:rsidR="00276E00" w:rsidRDefault="005A1EEE" w:rsidP="00276E00">
      <w:pPr>
        <w:jc w:val="center"/>
      </w:pPr>
      <w:r>
        <w:t>Норма -2 человека (9</w:t>
      </w:r>
      <w:r w:rsidR="00276E00">
        <w:t>%)</w:t>
      </w:r>
    </w:p>
    <w:p w:rsidR="00276E00" w:rsidRDefault="005A1EEE" w:rsidP="00276E00">
      <w:pPr>
        <w:jc w:val="center"/>
      </w:pPr>
      <w:r>
        <w:t>Ниже нормы- 3 человека(14</w:t>
      </w:r>
      <w:r w:rsidR="00276E00">
        <w:t xml:space="preserve">%) </w:t>
      </w:r>
      <w:proofErr w:type="spellStart"/>
      <w:r w:rsidR="00276E00">
        <w:t>Борисенков</w:t>
      </w:r>
      <w:proofErr w:type="spellEnd"/>
      <w:r w:rsidR="00276E00">
        <w:t xml:space="preserve"> Иван, Старовойтов Денис, Малюгина Оля. В основном в коллективе создана читающая среда. На родительских собраниях я стараюсь убедить каждого родителя в том, что ребёнок</w:t>
      </w:r>
      <w:r w:rsidR="00B51785">
        <w:t xml:space="preserve"> должен больше читать дома. Громкое чтение должно войти в привычку. Совсем не </w:t>
      </w:r>
      <w:proofErr w:type="gramStart"/>
      <w:r w:rsidR="00B51785">
        <w:t>читающих</w:t>
      </w:r>
      <w:proofErr w:type="gramEnd"/>
      <w:r w:rsidR="00B51785">
        <w:t xml:space="preserve"> в классе нет, хотя до середины декабря было 2 человека не </w:t>
      </w:r>
      <w:r w:rsidR="00B51785">
        <w:lastRenderedPageBreak/>
        <w:t xml:space="preserve">читающих – </w:t>
      </w:r>
      <w:proofErr w:type="spellStart"/>
      <w:r w:rsidR="00B51785">
        <w:t>Борисенков</w:t>
      </w:r>
      <w:proofErr w:type="spellEnd"/>
      <w:r w:rsidR="00B51785">
        <w:t xml:space="preserve"> Иван, </w:t>
      </w:r>
      <w:proofErr w:type="spellStart"/>
      <w:r w:rsidR="00B51785">
        <w:t>Радионова</w:t>
      </w:r>
      <w:proofErr w:type="spellEnd"/>
      <w:r w:rsidR="00B51785">
        <w:t xml:space="preserve"> Полина. С декабря проводилась индивидуальная работа с этими детьми, дополнительные задания. На конец учебного года у </w:t>
      </w:r>
      <w:proofErr w:type="spellStart"/>
      <w:r w:rsidR="00B51785">
        <w:t>Радионовой</w:t>
      </w:r>
      <w:proofErr w:type="spellEnd"/>
      <w:r w:rsidR="00B51785">
        <w:t xml:space="preserve"> Полины техника чтения составляет- 76 слов (выше нормы) Продолжить работу в новом учебном году с </w:t>
      </w:r>
      <w:proofErr w:type="spellStart"/>
      <w:r w:rsidR="00B51785">
        <w:t>Борисенковым</w:t>
      </w:r>
      <w:proofErr w:type="spellEnd"/>
      <w:r w:rsidR="00B51785">
        <w:t xml:space="preserve"> Ваней, Старовойтовым Денисом.</w:t>
      </w:r>
    </w:p>
    <w:p w:rsidR="00B51785" w:rsidRDefault="00B51785" w:rsidP="00276E00">
      <w:pPr>
        <w:jc w:val="center"/>
      </w:pPr>
      <w:r>
        <w:t>Все учащиеся 1 «А»</w:t>
      </w:r>
      <w:r w:rsidR="003D16A1">
        <w:t xml:space="preserve"> класса получили список литературы на лето.</w:t>
      </w:r>
    </w:p>
    <w:p w:rsidR="00276E00" w:rsidRDefault="00276E00" w:rsidP="00BB6590"/>
    <w:p w:rsidR="00BB6590" w:rsidRDefault="00BB6590" w:rsidP="00BB6590"/>
    <w:p w:rsidR="00BB6590" w:rsidRPr="00CB1552" w:rsidRDefault="00BB6590" w:rsidP="00CB1552">
      <w:pPr>
        <w:jc w:val="center"/>
        <w:rPr>
          <w:sz w:val="28"/>
          <w:szCs w:val="28"/>
        </w:rPr>
      </w:pPr>
      <w:r w:rsidRPr="00CB1552">
        <w:rPr>
          <w:sz w:val="28"/>
          <w:szCs w:val="28"/>
        </w:rPr>
        <w:t>Математика:</w:t>
      </w:r>
    </w:p>
    <w:p w:rsidR="00BB6590" w:rsidRDefault="00BB6590" w:rsidP="00BB6590"/>
    <w:p w:rsidR="00BB6590" w:rsidRDefault="00BB6590" w:rsidP="00BB6590">
      <w:r>
        <w:t>Умеют складывать и вычитать, сравнивать числа  в преде</w:t>
      </w:r>
      <w:r w:rsidR="00130D49">
        <w:t>лах десяти  – 22 обучающихся – 100</w:t>
      </w:r>
      <w:r w:rsidR="003D16A1">
        <w:t xml:space="preserve">%, </w:t>
      </w:r>
    </w:p>
    <w:p w:rsidR="00BB6590" w:rsidRDefault="00BB6590" w:rsidP="00BB6590"/>
    <w:p w:rsidR="00BB6590" w:rsidRDefault="003D16A1" w:rsidP="00BB6590">
      <w:r>
        <w:t>Знают цифры  - все обучающиеся 1 «А» класса.</w:t>
      </w:r>
      <w:r w:rsidR="00854F16">
        <w:t xml:space="preserve"> Исходя из работ по математике, можно сказать об успешном освоении материала. Дети имеют интерес к предмету и показали результат на пределе своих возможностей.</w:t>
      </w:r>
      <w:r w:rsidR="00CB1552">
        <w:t xml:space="preserve"> В ходе математического тестирования дети показали следующие результаты: «5»- нет</w:t>
      </w:r>
    </w:p>
    <w:p w:rsidR="00CB1552" w:rsidRDefault="00CB1552" w:rsidP="00BB6590">
      <w:r>
        <w:t xml:space="preserve">                       «4»-20</w:t>
      </w:r>
      <w:bookmarkStart w:id="0" w:name="_GoBack"/>
      <w:bookmarkEnd w:id="0"/>
    </w:p>
    <w:p w:rsidR="00CB1552" w:rsidRDefault="00CB1552" w:rsidP="00BB6590">
      <w:r>
        <w:t xml:space="preserve">                       «3»- 2</w:t>
      </w:r>
    </w:p>
    <w:p w:rsidR="00DA1584" w:rsidRDefault="00DA1584" w:rsidP="00BB6590">
      <w:r>
        <w:t xml:space="preserve">                        «2» - нет</w:t>
      </w:r>
    </w:p>
    <w:p w:rsidR="00BB6590" w:rsidRDefault="00CB1552" w:rsidP="00CB1552">
      <w:pPr>
        <w:jc w:val="center"/>
        <w:rPr>
          <w:sz w:val="28"/>
          <w:szCs w:val="28"/>
        </w:rPr>
      </w:pPr>
      <w:r w:rsidRPr="00CB1552">
        <w:rPr>
          <w:sz w:val="28"/>
          <w:szCs w:val="28"/>
        </w:rPr>
        <w:t>Русский язык:</w:t>
      </w:r>
    </w:p>
    <w:p w:rsidR="0028571A" w:rsidRDefault="0028571A" w:rsidP="00CB1552">
      <w:pPr>
        <w:jc w:val="center"/>
      </w:pPr>
      <w:r>
        <w:t xml:space="preserve">Исходя из результатов работ по русскому языку у учащихся </w:t>
      </w:r>
      <w:proofErr w:type="gramStart"/>
      <w:r>
        <w:t>возникли ряд трудностей</w:t>
      </w:r>
      <w:proofErr w:type="gramEnd"/>
      <w:r>
        <w:t>:</w:t>
      </w:r>
    </w:p>
    <w:p w:rsidR="0028571A" w:rsidRDefault="0028571A" w:rsidP="0028571A">
      <w:pPr>
        <w:pStyle w:val="a5"/>
      </w:pPr>
      <w:r>
        <w:t>1.Слабая концентрация внимания.</w:t>
      </w:r>
    </w:p>
    <w:p w:rsidR="0028571A" w:rsidRDefault="0028571A" w:rsidP="0028571A">
      <w:pPr>
        <w:pStyle w:val="a5"/>
      </w:pPr>
      <w:r>
        <w:t>2.Низкий уровень развития фонематического слуха.</w:t>
      </w:r>
    </w:p>
    <w:p w:rsidR="0028571A" w:rsidRDefault="0028571A" w:rsidP="0028571A">
      <w:pPr>
        <w:pStyle w:val="a5"/>
      </w:pPr>
      <w:r>
        <w:t>Поэтому в письменных работах у некоторых ребят идёт пропуск букв. Продолжить работу над выработкой учащихся навыков самоконтроля и самопроверки. Интенсифицировать работу по теме: «Заглавная буква», «Безударная гласная», продолжить работу над культурой речи.</w:t>
      </w:r>
      <w:r w:rsidR="00E57210">
        <w:t xml:space="preserve"> Техника оформления текста </w:t>
      </w:r>
      <w:proofErr w:type="gramStart"/>
      <w:r w:rsidR="00E57210">
        <w:t xml:space="preserve">( </w:t>
      </w:r>
      <w:proofErr w:type="gramEnd"/>
      <w:r w:rsidR="00E57210">
        <w:t>в ситуации списывания предложения)- не справились 3 человека (Горяева Таня, Тимофеев Петя, Савина Алина).</w:t>
      </w:r>
    </w:p>
    <w:p w:rsidR="00E57210" w:rsidRDefault="00E57210" w:rsidP="0028571A">
      <w:pPr>
        <w:pStyle w:val="a5"/>
      </w:pPr>
      <w:proofErr w:type="spellStart"/>
      <w:proofErr w:type="gramStart"/>
      <w:r>
        <w:t>Звуко</w:t>
      </w:r>
      <w:proofErr w:type="spellEnd"/>
      <w:r>
        <w:t>-буквенный</w:t>
      </w:r>
      <w:proofErr w:type="gramEnd"/>
      <w:r>
        <w:t xml:space="preserve"> анализ-7человек допустили ошибки.</w:t>
      </w:r>
    </w:p>
    <w:p w:rsidR="00E57210" w:rsidRDefault="00E57210" w:rsidP="0028571A">
      <w:pPr>
        <w:pStyle w:val="a5"/>
      </w:pPr>
      <w:r>
        <w:t xml:space="preserve">Итоговая комплексная письменная работа позволила выявить и оценить как уровень </w:t>
      </w:r>
      <w:proofErr w:type="spellStart"/>
      <w:r>
        <w:t>сформированности</w:t>
      </w:r>
      <w:proofErr w:type="spellEnd"/>
      <w:r>
        <w:t xml:space="preserve"> важнейших предметных аспектов обучения</w:t>
      </w:r>
      <w:r w:rsidR="006402F3">
        <w:t>, так и компетентность ребёнка в решении разнообразных проблем. Использование итоговых комплексных работ даёт возможность проследить динамику формирования ряда предметных навыков, имеющих большое значение для всего процесса обучения.</w:t>
      </w:r>
    </w:p>
    <w:p w:rsidR="006402F3" w:rsidRDefault="006402F3" w:rsidP="006402F3">
      <w:pPr>
        <w:pStyle w:val="a5"/>
        <w:jc w:val="center"/>
        <w:rPr>
          <w:sz w:val="28"/>
          <w:szCs w:val="28"/>
        </w:rPr>
      </w:pPr>
      <w:r w:rsidRPr="006402F3">
        <w:rPr>
          <w:sz w:val="28"/>
          <w:szCs w:val="28"/>
        </w:rPr>
        <w:t>Итоговые комплексные работы.</w:t>
      </w:r>
    </w:p>
    <w:p w:rsidR="006402F3" w:rsidRDefault="00DA115B" w:rsidP="006402F3">
      <w:pPr>
        <w:pStyle w:val="a5"/>
        <w:jc w:val="center"/>
      </w:pPr>
      <w:r>
        <w:t xml:space="preserve">Высокий уровень (25-30 </w:t>
      </w:r>
      <w:r w:rsidR="005A1EEE">
        <w:t>баллов)- количество человек 7-32</w:t>
      </w:r>
      <w:r>
        <w:t>%</w:t>
      </w:r>
    </w:p>
    <w:p w:rsidR="00DA115B" w:rsidRDefault="00DA115B" w:rsidP="006402F3">
      <w:pPr>
        <w:pStyle w:val="a5"/>
        <w:jc w:val="center"/>
      </w:pPr>
      <w:r>
        <w:t>Средний уровень (16-24</w:t>
      </w:r>
      <w:r w:rsidR="005A1EEE">
        <w:t xml:space="preserve"> балла</w:t>
      </w:r>
      <w:proofErr w:type="gramStart"/>
      <w:r w:rsidR="005A1EEE">
        <w:t>)-</w:t>
      </w:r>
      <w:proofErr w:type="gramEnd"/>
      <w:r w:rsidR="005A1EEE">
        <w:t>количество человек 13-59</w:t>
      </w:r>
      <w:r>
        <w:t>%</w:t>
      </w:r>
    </w:p>
    <w:p w:rsidR="00DA115B" w:rsidRDefault="00DA115B" w:rsidP="006402F3">
      <w:pPr>
        <w:pStyle w:val="a5"/>
        <w:jc w:val="center"/>
      </w:pPr>
      <w:r>
        <w:t>Низкий уровень (0-15 баллов)- количество человек 2-</w:t>
      </w:r>
      <w:r w:rsidR="005A1EEE">
        <w:t>9,1%</w:t>
      </w:r>
    </w:p>
    <w:p w:rsidR="00DA115B" w:rsidRDefault="00576B50" w:rsidP="00576B50">
      <w:pPr>
        <w:pStyle w:val="a5"/>
        <w:jc w:val="center"/>
        <w:rPr>
          <w:sz w:val="32"/>
          <w:szCs w:val="32"/>
        </w:rPr>
      </w:pPr>
      <w:r w:rsidRPr="00576B50">
        <w:rPr>
          <w:sz w:val="32"/>
          <w:szCs w:val="32"/>
        </w:rPr>
        <w:lastRenderedPageBreak/>
        <w:t>Диагностика</w:t>
      </w:r>
    </w:p>
    <w:p w:rsidR="00576B50" w:rsidRDefault="00576B50" w:rsidP="00576B50">
      <w:pPr>
        <w:pStyle w:val="a5"/>
        <w:rPr>
          <w:sz w:val="32"/>
          <w:szCs w:val="32"/>
        </w:rPr>
      </w:pPr>
      <w:r>
        <w:rPr>
          <w:sz w:val="32"/>
          <w:szCs w:val="32"/>
        </w:rPr>
        <w:t>Входная                       Промежуточная</w:t>
      </w:r>
      <w:r w:rsidR="00243142">
        <w:rPr>
          <w:sz w:val="32"/>
          <w:szCs w:val="32"/>
        </w:rPr>
        <w:t xml:space="preserve">                      Итоговая</w:t>
      </w:r>
    </w:p>
    <w:p w:rsidR="00576B50" w:rsidRPr="00576B50" w:rsidRDefault="00576B50" w:rsidP="00243142">
      <w:pPr>
        <w:pStyle w:val="a5"/>
        <w:rPr>
          <w:sz w:val="24"/>
          <w:szCs w:val="24"/>
        </w:rPr>
      </w:pPr>
    </w:p>
    <w:p w:rsidR="00576B50" w:rsidRPr="00576B50" w:rsidRDefault="00576B50" w:rsidP="00576B50">
      <w:pPr>
        <w:pStyle w:val="a5"/>
        <w:jc w:val="center"/>
        <w:rPr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2947"/>
        <w:gridCol w:w="2948"/>
      </w:tblGrid>
      <w:tr w:rsidR="00243142" w:rsidTr="00243142">
        <w:tc>
          <w:tcPr>
            <w:tcW w:w="3190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– 16%</w:t>
            </w:r>
          </w:p>
        </w:tc>
        <w:tc>
          <w:tcPr>
            <w:tcW w:w="3190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– 23%</w:t>
            </w:r>
          </w:p>
        </w:tc>
        <w:tc>
          <w:tcPr>
            <w:tcW w:w="3191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-32%</w:t>
            </w:r>
          </w:p>
        </w:tc>
      </w:tr>
      <w:tr w:rsidR="00243142" w:rsidTr="00243142">
        <w:tc>
          <w:tcPr>
            <w:tcW w:w="3190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Средний- 50%</w:t>
            </w:r>
          </w:p>
        </w:tc>
        <w:tc>
          <w:tcPr>
            <w:tcW w:w="3190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– 45%</w:t>
            </w:r>
          </w:p>
        </w:tc>
        <w:tc>
          <w:tcPr>
            <w:tcW w:w="3191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-59%</w:t>
            </w:r>
          </w:p>
        </w:tc>
      </w:tr>
      <w:tr w:rsidR="00243142" w:rsidTr="00243142">
        <w:tc>
          <w:tcPr>
            <w:tcW w:w="3190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-34%</w:t>
            </w:r>
          </w:p>
        </w:tc>
        <w:tc>
          <w:tcPr>
            <w:tcW w:w="3190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– 14%</w:t>
            </w:r>
          </w:p>
        </w:tc>
        <w:tc>
          <w:tcPr>
            <w:tcW w:w="3191" w:type="dxa"/>
          </w:tcPr>
          <w:p w:rsidR="00243142" w:rsidRDefault="00243142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-9%</w:t>
            </w:r>
          </w:p>
        </w:tc>
      </w:tr>
    </w:tbl>
    <w:p w:rsidR="00B15A3E" w:rsidRPr="00576B50" w:rsidRDefault="00B15A3E" w:rsidP="00576B50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Методика Г.А. </w:t>
      </w:r>
      <w:proofErr w:type="spellStart"/>
      <w:r>
        <w:rPr>
          <w:sz w:val="24"/>
          <w:szCs w:val="24"/>
        </w:rPr>
        <w:t>Цукерм</w:t>
      </w:r>
      <w:r w:rsidR="00D76CF8">
        <w:rPr>
          <w:sz w:val="24"/>
          <w:szCs w:val="24"/>
        </w:rPr>
        <w:t>ан</w:t>
      </w:r>
      <w:proofErr w:type="spellEnd"/>
      <w:r w:rsidR="00D76CF8">
        <w:rPr>
          <w:sz w:val="24"/>
          <w:szCs w:val="24"/>
        </w:rPr>
        <w:t xml:space="preserve"> позволила дать анализ степени</w:t>
      </w:r>
      <w:r>
        <w:rPr>
          <w:sz w:val="24"/>
          <w:szCs w:val="24"/>
        </w:rPr>
        <w:t xml:space="preserve"> развития УУД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B15A3E" w:rsidTr="00B15A3E">
        <w:tc>
          <w:tcPr>
            <w:tcW w:w="3190" w:type="dxa"/>
          </w:tcPr>
          <w:p w:rsidR="00B15A3E" w:rsidRDefault="00B15A3E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– 62%</w:t>
            </w:r>
          </w:p>
        </w:tc>
        <w:tc>
          <w:tcPr>
            <w:tcW w:w="3190" w:type="dxa"/>
          </w:tcPr>
          <w:p w:rsidR="00B15A3E" w:rsidRDefault="00B15A3E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</w:t>
            </w:r>
            <w:r w:rsidR="00526A7C">
              <w:rPr>
                <w:sz w:val="24"/>
                <w:szCs w:val="24"/>
              </w:rPr>
              <w:t>68%</w:t>
            </w:r>
          </w:p>
        </w:tc>
        <w:tc>
          <w:tcPr>
            <w:tcW w:w="3191" w:type="dxa"/>
          </w:tcPr>
          <w:p w:rsidR="00B15A3E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-68%</w:t>
            </w:r>
          </w:p>
        </w:tc>
      </w:tr>
      <w:tr w:rsidR="00B15A3E" w:rsidTr="00B15A3E">
        <w:tc>
          <w:tcPr>
            <w:tcW w:w="3190" w:type="dxa"/>
          </w:tcPr>
          <w:p w:rsidR="00B15A3E" w:rsidRDefault="00B15A3E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– 33,3%</w:t>
            </w:r>
          </w:p>
        </w:tc>
        <w:tc>
          <w:tcPr>
            <w:tcW w:w="3190" w:type="dxa"/>
          </w:tcPr>
          <w:p w:rsidR="00B15A3E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-27%</w:t>
            </w:r>
          </w:p>
        </w:tc>
        <w:tc>
          <w:tcPr>
            <w:tcW w:w="3191" w:type="dxa"/>
          </w:tcPr>
          <w:p w:rsidR="00B15A3E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– 27%</w:t>
            </w:r>
          </w:p>
        </w:tc>
      </w:tr>
      <w:tr w:rsidR="00B15A3E" w:rsidTr="00B15A3E">
        <w:tc>
          <w:tcPr>
            <w:tcW w:w="3190" w:type="dxa"/>
          </w:tcPr>
          <w:p w:rsidR="00B15A3E" w:rsidRDefault="00B15A3E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-4,7%</w:t>
            </w:r>
          </w:p>
        </w:tc>
        <w:tc>
          <w:tcPr>
            <w:tcW w:w="3190" w:type="dxa"/>
          </w:tcPr>
          <w:p w:rsidR="00B15A3E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-5%</w:t>
            </w:r>
          </w:p>
        </w:tc>
        <w:tc>
          <w:tcPr>
            <w:tcW w:w="3191" w:type="dxa"/>
          </w:tcPr>
          <w:p w:rsidR="00B15A3E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-5%</w:t>
            </w:r>
          </w:p>
        </w:tc>
      </w:tr>
    </w:tbl>
    <w:p w:rsidR="00526A7C" w:rsidRPr="00576B50" w:rsidRDefault="00526A7C" w:rsidP="00576B50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Осуществлять сравнение.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80"/>
        <w:gridCol w:w="2890"/>
        <w:gridCol w:w="2981"/>
      </w:tblGrid>
      <w:tr w:rsidR="00526A7C" w:rsidTr="00526A7C">
        <w:tc>
          <w:tcPr>
            <w:tcW w:w="3190" w:type="dxa"/>
          </w:tcPr>
          <w:p w:rsidR="00526A7C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</w:t>
            </w:r>
            <w:r w:rsidR="005725E4">
              <w:rPr>
                <w:sz w:val="24"/>
                <w:szCs w:val="24"/>
              </w:rPr>
              <w:t>47,6%</w:t>
            </w:r>
          </w:p>
        </w:tc>
        <w:tc>
          <w:tcPr>
            <w:tcW w:w="3190" w:type="dxa"/>
          </w:tcPr>
          <w:p w:rsidR="00526A7C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26A7C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– 50%</w:t>
            </w:r>
          </w:p>
        </w:tc>
      </w:tr>
      <w:tr w:rsidR="00526A7C" w:rsidTr="00526A7C">
        <w:tc>
          <w:tcPr>
            <w:tcW w:w="3190" w:type="dxa"/>
          </w:tcPr>
          <w:p w:rsidR="00526A7C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-38,1%</w:t>
            </w:r>
          </w:p>
        </w:tc>
        <w:tc>
          <w:tcPr>
            <w:tcW w:w="3190" w:type="dxa"/>
          </w:tcPr>
          <w:p w:rsidR="00526A7C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26A7C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– 41%</w:t>
            </w:r>
          </w:p>
        </w:tc>
      </w:tr>
      <w:tr w:rsidR="00526A7C" w:rsidTr="00526A7C">
        <w:tc>
          <w:tcPr>
            <w:tcW w:w="3190" w:type="dxa"/>
          </w:tcPr>
          <w:p w:rsidR="00526A7C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-14,3%</w:t>
            </w:r>
          </w:p>
        </w:tc>
        <w:tc>
          <w:tcPr>
            <w:tcW w:w="3190" w:type="dxa"/>
          </w:tcPr>
          <w:p w:rsidR="00526A7C" w:rsidRDefault="00526A7C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26A7C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– 9%</w:t>
            </w:r>
          </w:p>
        </w:tc>
      </w:tr>
    </w:tbl>
    <w:p w:rsidR="005725E4" w:rsidRPr="00576B50" w:rsidRDefault="005725E4" w:rsidP="00576B50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Осуществлять и классифицировать.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80"/>
        <w:gridCol w:w="2890"/>
        <w:gridCol w:w="2981"/>
      </w:tblGrid>
      <w:tr w:rsidR="005725E4" w:rsidTr="005725E4"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-66,7%</w:t>
            </w:r>
          </w:p>
        </w:tc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-68%</w:t>
            </w:r>
          </w:p>
        </w:tc>
      </w:tr>
      <w:tr w:rsidR="005725E4" w:rsidTr="005725E4"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-33,3%</w:t>
            </w:r>
          </w:p>
        </w:tc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– 27%</w:t>
            </w:r>
          </w:p>
        </w:tc>
      </w:tr>
      <w:tr w:rsidR="005725E4" w:rsidTr="005725E4"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– 0%</w:t>
            </w:r>
          </w:p>
        </w:tc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-5%</w:t>
            </w:r>
          </w:p>
        </w:tc>
      </w:tr>
    </w:tbl>
    <w:p w:rsidR="00576B50" w:rsidRDefault="005725E4" w:rsidP="00576B50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На основании проведённой диагностики можно сделать вывод: Большинство детей умеют анализировать предложения, объекты, неплохо осуществляют сравнение, выделяют общие признаки.</w:t>
      </w:r>
    </w:p>
    <w:p w:rsidR="005725E4" w:rsidRDefault="005725E4" w:rsidP="00576B50">
      <w:pPr>
        <w:pStyle w:val="a5"/>
        <w:jc w:val="center"/>
        <w:rPr>
          <w:sz w:val="32"/>
          <w:szCs w:val="32"/>
        </w:rPr>
      </w:pPr>
      <w:r w:rsidRPr="005725E4">
        <w:rPr>
          <w:sz w:val="32"/>
          <w:szCs w:val="32"/>
        </w:rPr>
        <w:t>Выявление уровня самооценки.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82"/>
        <w:gridCol w:w="2893"/>
        <w:gridCol w:w="2976"/>
      </w:tblGrid>
      <w:tr w:rsidR="00EC61AA" w:rsidTr="005725E4">
        <w:tc>
          <w:tcPr>
            <w:tcW w:w="3190" w:type="dxa"/>
          </w:tcPr>
          <w:p w:rsidR="005725E4" w:rsidRPr="005725E4" w:rsidRDefault="005725E4" w:rsidP="00576B50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-</w:t>
            </w:r>
            <w:r w:rsidR="00EC61AA">
              <w:rPr>
                <w:sz w:val="24"/>
                <w:szCs w:val="24"/>
              </w:rPr>
              <w:t>9,5%</w:t>
            </w:r>
          </w:p>
        </w:tc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5725E4" w:rsidRPr="00EC61AA" w:rsidRDefault="00EC61AA" w:rsidP="00576B50">
            <w:pPr>
              <w:pStyle w:val="a5"/>
              <w:ind w:left="0"/>
              <w:jc w:val="center"/>
            </w:pPr>
            <w:r w:rsidRPr="00EC61AA">
              <w:t xml:space="preserve">Высокий </w:t>
            </w:r>
            <w:r>
              <w:t>– 14%</w:t>
            </w:r>
          </w:p>
        </w:tc>
      </w:tr>
      <w:tr w:rsidR="00EC61AA" w:rsidTr="005725E4">
        <w:tc>
          <w:tcPr>
            <w:tcW w:w="3190" w:type="dxa"/>
          </w:tcPr>
          <w:p w:rsidR="005725E4" w:rsidRPr="00EC61AA" w:rsidRDefault="00EC61AA" w:rsidP="00576B50">
            <w:pPr>
              <w:pStyle w:val="a5"/>
              <w:ind w:left="0"/>
              <w:jc w:val="center"/>
            </w:pPr>
            <w:r>
              <w:t>Средний -57,2%</w:t>
            </w:r>
          </w:p>
        </w:tc>
        <w:tc>
          <w:tcPr>
            <w:tcW w:w="3190" w:type="dxa"/>
          </w:tcPr>
          <w:p w:rsidR="005725E4" w:rsidRDefault="005725E4" w:rsidP="00576B50">
            <w:pPr>
              <w:pStyle w:val="a5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5725E4" w:rsidRPr="00EC61AA" w:rsidRDefault="00EC61AA" w:rsidP="00576B50">
            <w:pPr>
              <w:pStyle w:val="a5"/>
              <w:ind w:left="0"/>
              <w:jc w:val="center"/>
            </w:pPr>
            <w:r w:rsidRPr="00EC61AA">
              <w:t>Средний -72%</w:t>
            </w:r>
          </w:p>
        </w:tc>
      </w:tr>
      <w:tr w:rsidR="00EC61AA" w:rsidTr="005725E4">
        <w:tc>
          <w:tcPr>
            <w:tcW w:w="3190" w:type="dxa"/>
          </w:tcPr>
          <w:p w:rsidR="005725E4" w:rsidRPr="00EC61AA" w:rsidRDefault="00D76CF8" w:rsidP="00576B50">
            <w:pPr>
              <w:pStyle w:val="a5"/>
              <w:ind w:left="0"/>
              <w:jc w:val="center"/>
            </w:pPr>
            <w:r>
              <w:t xml:space="preserve">   </w:t>
            </w:r>
            <w:r w:rsidR="00EC61AA">
              <w:t>Низкий – 33,3%</w:t>
            </w:r>
          </w:p>
        </w:tc>
        <w:tc>
          <w:tcPr>
            <w:tcW w:w="3190" w:type="dxa"/>
          </w:tcPr>
          <w:p w:rsidR="005725E4" w:rsidRDefault="00D76CF8" w:rsidP="00576B50">
            <w:pPr>
              <w:pStyle w:val="a5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  <w:tc>
          <w:tcPr>
            <w:tcW w:w="3191" w:type="dxa"/>
          </w:tcPr>
          <w:p w:rsidR="005725E4" w:rsidRPr="00EC61AA" w:rsidRDefault="00EC61AA" w:rsidP="00576B50">
            <w:pPr>
              <w:pStyle w:val="a5"/>
              <w:ind w:left="0"/>
              <w:jc w:val="center"/>
            </w:pPr>
            <w:r w:rsidRPr="00EC61AA">
              <w:t>Низкий – 14%</w:t>
            </w:r>
          </w:p>
        </w:tc>
      </w:tr>
    </w:tbl>
    <w:p w:rsidR="005725E4" w:rsidRDefault="00D76CF8" w:rsidP="00576B50">
      <w:pPr>
        <w:pStyle w:val="a5"/>
        <w:jc w:val="center"/>
      </w:pPr>
      <w:r>
        <w:t xml:space="preserve">  </w:t>
      </w:r>
      <w:r w:rsidR="00EC61AA" w:rsidRPr="00A412C4">
        <w:t xml:space="preserve">В учебной деятельности следует обратить внимание </w:t>
      </w:r>
      <w:r>
        <w:t xml:space="preserve"> </w:t>
      </w:r>
      <w:r w:rsidR="00EC61AA" w:rsidRPr="00A412C4">
        <w:t xml:space="preserve">на группу детей с высоким уровнем </w:t>
      </w:r>
      <w:r>
        <w:t xml:space="preserve"> </w:t>
      </w:r>
      <w:r w:rsidR="00EC61AA" w:rsidRPr="00A412C4">
        <w:t xml:space="preserve">самооценки и группу детей с низким уровнем </w:t>
      </w:r>
      <w:proofErr w:type="spellStart"/>
      <w:r w:rsidR="00EC61AA" w:rsidRPr="00A412C4">
        <w:t>самооценки</w:t>
      </w:r>
      <w:proofErr w:type="gramStart"/>
      <w:r w:rsidR="00EC61AA" w:rsidRPr="00A412C4">
        <w:t>.П</w:t>
      </w:r>
      <w:proofErr w:type="gramEnd"/>
      <w:r w:rsidR="00EC61AA" w:rsidRPr="00A412C4">
        <w:t>ри</w:t>
      </w:r>
      <w:proofErr w:type="spellEnd"/>
      <w:r w:rsidR="00EC61AA" w:rsidRPr="00A412C4">
        <w:t xml:space="preserve"> организации внеклассных мероприятий включать учащихся в групповую работу, учить слушать других, воспитывать чувство сопереживания, оценивая работы, показывать как  положительные стороны, так и отрицательные стороны, предлагать задания творческого характера.</w:t>
      </w:r>
      <w:r>
        <w:t xml:space="preserve"> Высокий уровень самооценки является возрастной нормой</w:t>
      </w:r>
      <w:r w:rsidR="00033E4F">
        <w:t xml:space="preserve"> для детей младшего школьного возраста. Так как учебная деятельность является важным фактором, влияющим на формирование самооценки, то учитель должен знать индивидуальные особенности самооценки и учитывать их в учебном процессе. </w:t>
      </w:r>
      <w:r w:rsidR="00EC61AA" w:rsidRPr="00A412C4">
        <w:t xml:space="preserve">Изучив </w:t>
      </w:r>
      <w:proofErr w:type="gramStart"/>
      <w:r w:rsidR="00EC61AA" w:rsidRPr="00A412C4">
        <w:t>уровни адаптации и выделив</w:t>
      </w:r>
      <w:proofErr w:type="gramEnd"/>
      <w:r w:rsidR="00EC61AA" w:rsidRPr="00A412C4">
        <w:t xml:space="preserve"> на шкале это позволяет сделать некоторые предположения: 21 человек</w:t>
      </w:r>
      <w:r w:rsidR="00A412C4" w:rsidRPr="00A412C4">
        <w:t>(95%) готовы к школьному обучению Роль ученика у них определена, к школе они относятся положительно.</w:t>
      </w:r>
      <w:r w:rsidR="00EC61AA" w:rsidRPr="00A412C4">
        <w:t xml:space="preserve"> </w:t>
      </w:r>
      <w:r w:rsidR="00A412C4" w:rsidRPr="00A412C4">
        <w:t>В 1 «А» классе есть дети гиперактивные. С этими детьми была проведена индивидуальная работа, а так же работа с их родителями.</w:t>
      </w:r>
    </w:p>
    <w:p w:rsidR="00A412C4" w:rsidRPr="00A412C4" w:rsidRDefault="00A412C4" w:rsidP="00576B50">
      <w:pPr>
        <w:pStyle w:val="a5"/>
        <w:jc w:val="center"/>
        <w:rPr>
          <w:sz w:val="24"/>
          <w:szCs w:val="24"/>
        </w:rPr>
      </w:pPr>
      <w:r w:rsidRPr="00A412C4">
        <w:rPr>
          <w:sz w:val="24"/>
          <w:szCs w:val="24"/>
        </w:rPr>
        <w:t>Для ребят 1 «А» класса характерен высокий уровень двигательной активности.</w:t>
      </w:r>
    </w:p>
    <w:p w:rsidR="00A412C4" w:rsidRPr="00A412C4" w:rsidRDefault="00A412C4" w:rsidP="00576B50">
      <w:pPr>
        <w:pStyle w:val="a5"/>
        <w:jc w:val="center"/>
        <w:rPr>
          <w:sz w:val="24"/>
          <w:szCs w:val="24"/>
        </w:rPr>
      </w:pPr>
      <w:r w:rsidRPr="00A412C4">
        <w:rPr>
          <w:sz w:val="24"/>
          <w:szCs w:val="24"/>
        </w:rPr>
        <w:t>Неусидчивые 7человек (32%)</w:t>
      </w:r>
    </w:p>
    <w:p w:rsidR="00A412C4" w:rsidRPr="00A412C4" w:rsidRDefault="00A412C4" w:rsidP="00576B50">
      <w:pPr>
        <w:pStyle w:val="a5"/>
        <w:jc w:val="center"/>
        <w:rPr>
          <w:sz w:val="24"/>
          <w:szCs w:val="24"/>
        </w:rPr>
      </w:pPr>
      <w:r w:rsidRPr="00A412C4">
        <w:rPr>
          <w:sz w:val="24"/>
          <w:szCs w:val="24"/>
        </w:rPr>
        <w:t>Плохая дисциплина 2 человека (9%)</w:t>
      </w:r>
    </w:p>
    <w:p w:rsidR="00243142" w:rsidRDefault="00243142" w:rsidP="00BB6590">
      <w:r>
        <w:lastRenderedPageBreak/>
        <w:t>Как</w:t>
      </w:r>
      <w:r w:rsidR="00A412C4">
        <w:t xml:space="preserve"> видно из представленной диагностики</w:t>
      </w:r>
      <w:r>
        <w:t xml:space="preserve"> период адаптации к школьному обучению у учащихся 1 «а» класса проходит в пределах нормы и, в, основном завершён. </w:t>
      </w:r>
      <w:r w:rsidR="00DA1584">
        <w:t>По классу дети имеют стабильно средний уровень.</w:t>
      </w:r>
      <w:r w:rsidR="007D5E0A">
        <w:t xml:space="preserve"> Весь учебный процесс в 1 классе вёлся с учётом </w:t>
      </w:r>
      <w:proofErr w:type="spellStart"/>
      <w:r w:rsidR="007D5E0A">
        <w:t>здоровьесберегающих</w:t>
      </w:r>
      <w:proofErr w:type="spellEnd"/>
      <w:r w:rsidR="007D5E0A">
        <w:t xml:space="preserve"> технологий. Было организовано двухразовое питание: дети своевременно завтракают и обедают. Ежедневно присутствовали динамические паузы, совершались прогулки на свежем воздухе. В классе к концу года стали складываться доброжелательные  взаимоотношения, что тоже является одним из условий формирования </w:t>
      </w:r>
      <w:proofErr w:type="spellStart"/>
      <w:r w:rsidR="007D5E0A">
        <w:t>здоровьесберегающей</w:t>
      </w:r>
      <w:proofErr w:type="spellEnd"/>
      <w:r w:rsidR="007D5E0A">
        <w:t xml:space="preserve"> образовательной среды. Для повышения умственной работоспособности</w:t>
      </w:r>
      <w:r w:rsidR="00B10DD6">
        <w:t xml:space="preserve"> детей, предупреждения преждевременного наступления утомления и снятия напряжения, проводятся </w:t>
      </w:r>
      <w:proofErr w:type="spellStart"/>
      <w:r w:rsidR="00B10DD6">
        <w:t>физминутки</w:t>
      </w:r>
      <w:proofErr w:type="spellEnd"/>
      <w:r w:rsidR="00B10DD6">
        <w:t xml:space="preserve">. Кроме того, проводится эмоциональная разгрузка, ведётся </w:t>
      </w:r>
      <w:proofErr w:type="gramStart"/>
      <w:r w:rsidR="00B10DD6">
        <w:t>контроль за</w:t>
      </w:r>
      <w:proofErr w:type="gramEnd"/>
      <w:r w:rsidR="00B10DD6">
        <w:t xml:space="preserve"> соблюдением учащимися правильной осанки и чередованием работы в течение урока.</w:t>
      </w:r>
      <w:r w:rsidR="00A412C4">
        <w:t xml:space="preserve"> </w:t>
      </w:r>
    </w:p>
    <w:p w:rsidR="00243142" w:rsidRDefault="00243142" w:rsidP="00BB6590"/>
    <w:p w:rsidR="00BB6590" w:rsidRDefault="00BB6590" w:rsidP="00BB6590">
      <w:r>
        <w:t>Методическое сопровождение и оснащенность кабинета. Для</w:t>
      </w:r>
      <w:r w:rsidR="003D16A1">
        <w:t xml:space="preserve"> обучения первоклассников в 2012 – 2013 году </w:t>
      </w:r>
      <w:proofErr w:type="gramStart"/>
      <w:r w:rsidR="003D16A1">
        <w:t>выбран</w:t>
      </w:r>
      <w:proofErr w:type="gramEnd"/>
      <w:r w:rsidR="003D16A1">
        <w:t xml:space="preserve"> УМК «Школа России</w:t>
      </w:r>
      <w:r>
        <w:t xml:space="preserve">». Составлена программа, соответствующая требованиям ФГОС НОО, закуплены в полном </w:t>
      </w:r>
      <w:r w:rsidR="00CB1552">
        <w:t>объеме рабочие тетради по всем предметам.</w:t>
      </w:r>
      <w:r w:rsidR="00184C71">
        <w:t xml:space="preserve"> Для эффективности реализации ФГОС начального образования используется материально – техническая база (ноутбук, проектор).</w:t>
      </w:r>
    </w:p>
    <w:p w:rsidR="00BB6590" w:rsidRDefault="00CB1552" w:rsidP="00BB6590">
      <w:r>
        <w:t xml:space="preserve"> </w:t>
      </w:r>
    </w:p>
    <w:p w:rsidR="00BB6590" w:rsidRDefault="00BB6590" w:rsidP="00BB6590"/>
    <w:p w:rsidR="003D16A1" w:rsidRDefault="003D16A1" w:rsidP="00BB6590"/>
    <w:p w:rsidR="00BB6590" w:rsidRDefault="00BB6590" w:rsidP="00BB6590"/>
    <w:p w:rsidR="003D16A1" w:rsidRDefault="003D16A1" w:rsidP="00BB6590"/>
    <w:p w:rsidR="003D16A1" w:rsidRDefault="003D16A1" w:rsidP="00BB6590"/>
    <w:p w:rsidR="00BB6590" w:rsidRDefault="00BB6590" w:rsidP="00BB6590"/>
    <w:p w:rsidR="00BB6590" w:rsidRDefault="00BB6590" w:rsidP="00BB6590"/>
    <w:p w:rsidR="00C95EA4" w:rsidRDefault="00C95EA4" w:rsidP="00BB6590"/>
    <w:p w:rsidR="00BB6590" w:rsidRDefault="00BB6590" w:rsidP="00BB6590"/>
    <w:p w:rsidR="00C95EA4" w:rsidRDefault="00C95EA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3D16A1" w:rsidP="00BB6590">
      <w:r>
        <w:t xml:space="preserve">                         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C95EA4" w:rsidRDefault="00C95EA4" w:rsidP="00BB6590"/>
    <w:p w:rsidR="00BB6590" w:rsidRDefault="00BB6590" w:rsidP="00BB6590"/>
    <w:p w:rsidR="00C95EA4" w:rsidRDefault="00C95EA4" w:rsidP="00BB6590"/>
    <w:p w:rsidR="00C95EA4" w:rsidRDefault="00C95EA4" w:rsidP="00BB6590"/>
    <w:p w:rsidR="00BB6590" w:rsidRDefault="00BB6590" w:rsidP="00BB6590"/>
    <w:p w:rsidR="00C95EA4" w:rsidRDefault="00C95EA4" w:rsidP="00BB6590"/>
    <w:p w:rsidR="00BB6590" w:rsidRDefault="00BB6590" w:rsidP="00BB6590"/>
    <w:p w:rsidR="00BB6590" w:rsidRDefault="00BB6590" w:rsidP="00BB6590"/>
    <w:p w:rsidR="00C95EA4" w:rsidRDefault="00C95EA4" w:rsidP="00BB6590"/>
    <w:p w:rsidR="00BB6590" w:rsidRDefault="00BB6590" w:rsidP="00BB6590"/>
    <w:p w:rsidR="00C95EA4" w:rsidRDefault="00C95EA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     </w:t>
      </w:r>
    </w:p>
    <w:p w:rsidR="00BB6590" w:rsidRDefault="00BB6590" w:rsidP="00BB6590">
      <w:r>
        <w:t xml:space="preserve">  </w:t>
      </w:r>
    </w:p>
    <w:p w:rsidR="00BB6590" w:rsidRDefault="00BB6590" w:rsidP="00BB6590"/>
    <w:p w:rsidR="00BB6590" w:rsidRDefault="00BB6590" w:rsidP="00BB6590"/>
    <w:p w:rsidR="00BB6590" w:rsidRDefault="003D16A1" w:rsidP="00BB6590">
      <w:r>
        <w:t xml:space="preserve">      </w:t>
      </w:r>
    </w:p>
    <w:p w:rsidR="00BB6590" w:rsidRDefault="00BB6590" w:rsidP="00BB6590"/>
    <w:p w:rsidR="00BB6590" w:rsidRDefault="00BB6590" w:rsidP="00BB6590">
      <w:r>
        <w:t xml:space="preserve">                                                                           </w:t>
      </w:r>
    </w:p>
    <w:p w:rsidR="00BB6590" w:rsidRDefault="00BB6590" w:rsidP="00BB6590"/>
    <w:p w:rsidR="00BB6590" w:rsidRDefault="00BB6590" w:rsidP="00BB6590"/>
    <w:p w:rsidR="00BB6590" w:rsidRDefault="00BB6590" w:rsidP="00BB6590">
      <w:r>
        <w:lastRenderedPageBreak/>
        <w:t xml:space="preserve"> </w:t>
      </w:r>
    </w:p>
    <w:p w:rsidR="00BB6590" w:rsidRDefault="00BB6590" w:rsidP="00BB6590"/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3D16A1" w:rsidP="00BB6590">
      <w:r>
        <w:t xml:space="preserve">      </w:t>
      </w:r>
    </w:p>
    <w:p w:rsidR="00BB6590" w:rsidRDefault="00BB6590" w:rsidP="00BB6590">
      <w:r>
        <w:t xml:space="preserve">  </w:t>
      </w:r>
    </w:p>
    <w:p w:rsidR="00BB6590" w:rsidRDefault="00BB6590" w:rsidP="00BB6590"/>
    <w:p w:rsidR="00BB6590" w:rsidRDefault="00BB6590" w:rsidP="00BB6590"/>
    <w:p w:rsidR="00BB6590" w:rsidRDefault="00BB6590" w:rsidP="00BB6590"/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>
      <w:r>
        <w:t xml:space="preserve">  </w:t>
      </w:r>
    </w:p>
    <w:p w:rsidR="00BB6590" w:rsidRDefault="00BB6590" w:rsidP="00BB6590"/>
    <w:p w:rsidR="00BB6590" w:rsidRDefault="00BB6590" w:rsidP="00BB6590"/>
    <w:p w:rsidR="00BB6590" w:rsidRDefault="00BB6590" w:rsidP="00BB6590">
      <w:r>
        <w:t xml:space="preserve">  </w:t>
      </w:r>
    </w:p>
    <w:p w:rsidR="00BB6590" w:rsidRDefault="00BB6590" w:rsidP="00BB6590"/>
    <w:p w:rsidR="00BB6590" w:rsidRDefault="003D16A1" w:rsidP="00BB6590">
      <w:r>
        <w:t xml:space="preserve">           </w:t>
      </w:r>
    </w:p>
    <w:p w:rsidR="00BB6590" w:rsidRDefault="00BB6590" w:rsidP="00BB6590"/>
    <w:p w:rsidR="00BB6590" w:rsidRDefault="00BB6590" w:rsidP="00BB6590"/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>
      <w:r>
        <w:t xml:space="preserve">  </w:t>
      </w:r>
    </w:p>
    <w:p w:rsidR="00BB6590" w:rsidRDefault="00BB6590" w:rsidP="00BB6590"/>
    <w:p w:rsidR="00BB6590" w:rsidRDefault="00BB6590" w:rsidP="00BB6590"/>
    <w:p w:rsidR="00BB6590" w:rsidRDefault="00BB6590" w:rsidP="00BB6590">
      <w:r>
        <w:lastRenderedPageBreak/>
        <w:t xml:space="preserve">  </w:t>
      </w:r>
    </w:p>
    <w:p w:rsidR="00BB6590" w:rsidRDefault="00BB6590" w:rsidP="00BB6590"/>
    <w:p w:rsidR="00BB6590" w:rsidRDefault="003D16A1" w:rsidP="00BB6590">
      <w:r>
        <w:t xml:space="preserve">           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BB6590" w:rsidRDefault="00BB6590" w:rsidP="00BB6590"/>
    <w:p w:rsidR="00C95EA4" w:rsidRDefault="00C95EA4" w:rsidP="00BB6590"/>
    <w:p w:rsidR="00BB6590" w:rsidRDefault="00BB6590" w:rsidP="00BB6590">
      <w:r>
        <w:t xml:space="preserve"> </w:t>
      </w:r>
    </w:p>
    <w:p w:rsidR="00BB6590" w:rsidRDefault="00BB6590" w:rsidP="00BB6590"/>
    <w:p w:rsidR="00C95EA4" w:rsidRDefault="00C95EA4" w:rsidP="00BB6590"/>
    <w:p w:rsidR="00BB6590" w:rsidRDefault="00BB6590" w:rsidP="00BB6590">
      <w:r>
        <w:t xml:space="preserve"> </w:t>
      </w:r>
      <w:r>
        <w:tab/>
      </w:r>
    </w:p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  <w:r>
        <w:tab/>
      </w:r>
    </w:p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  <w:r>
        <w:tab/>
      </w:r>
    </w:p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BB6590" w:rsidRDefault="00BB6590" w:rsidP="00BB6590">
      <w:r>
        <w:t xml:space="preserve"> </w:t>
      </w:r>
    </w:p>
    <w:p w:rsidR="00C95EA4" w:rsidRDefault="00C95EA4" w:rsidP="00BB6590"/>
    <w:p w:rsidR="00C95EA4" w:rsidRDefault="00C95EA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lastRenderedPageBreak/>
        <w:t xml:space="preserve">                             </w:t>
      </w:r>
    </w:p>
    <w:p w:rsidR="003D16A1" w:rsidRDefault="003D16A1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BB6590" w:rsidRDefault="00BB6590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3D16A1" w:rsidRDefault="003D16A1" w:rsidP="00BB6590"/>
    <w:p w:rsidR="00BB6590" w:rsidRDefault="00BB6590" w:rsidP="00BB6590"/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D60C04" w:rsidRDefault="00D60C04" w:rsidP="00BB6590"/>
    <w:p w:rsidR="00D60C04" w:rsidRDefault="00D60C04" w:rsidP="00BB6590"/>
    <w:p w:rsidR="00BB6590" w:rsidRDefault="00BB6590" w:rsidP="00BB6590"/>
    <w:p w:rsidR="00D60C04" w:rsidRDefault="00D60C04" w:rsidP="00BB6590"/>
    <w:p w:rsidR="00D60C04" w:rsidRDefault="00D60C04" w:rsidP="00BB6590"/>
    <w:p w:rsidR="00D60C04" w:rsidRDefault="00D60C04" w:rsidP="00BB6590"/>
    <w:p w:rsidR="00BB6590" w:rsidRDefault="00BB6590" w:rsidP="00BB6590"/>
    <w:p w:rsidR="00D60C04" w:rsidRDefault="00D60C04" w:rsidP="00BB6590"/>
    <w:p w:rsidR="00D60C04" w:rsidRDefault="00D60C04" w:rsidP="00BB6590"/>
    <w:p w:rsidR="00BB6590" w:rsidRDefault="00BB6590" w:rsidP="00BB6590"/>
    <w:p w:rsidR="00D60C04" w:rsidRDefault="00D60C04" w:rsidP="00BB6590"/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lastRenderedPageBreak/>
        <w:t xml:space="preserve"> </w:t>
      </w:r>
    </w:p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D60C04" w:rsidRDefault="00D60C04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D60C04" w:rsidRDefault="00D60C04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BB6590" w:rsidRDefault="00BB6590" w:rsidP="00BB6590"/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  <w:r>
        <w:tab/>
      </w:r>
    </w:p>
    <w:p w:rsidR="00D60C04" w:rsidRDefault="00D60C04" w:rsidP="00BB6590"/>
    <w:p w:rsidR="00BB6590" w:rsidRDefault="00BB6590" w:rsidP="00BB6590">
      <w:r>
        <w:t xml:space="preserve"> </w:t>
      </w:r>
      <w:r>
        <w:tab/>
      </w:r>
    </w:p>
    <w:p w:rsidR="00BB6590" w:rsidRDefault="00BB6590" w:rsidP="00BB6590">
      <w:r>
        <w:t xml:space="preserve"> </w:t>
      </w:r>
      <w:r>
        <w:tab/>
      </w:r>
    </w:p>
    <w:p w:rsidR="00BB6590" w:rsidRDefault="00BB6590" w:rsidP="00BB6590">
      <w:r>
        <w:t xml:space="preserve"> </w:t>
      </w:r>
    </w:p>
    <w:p w:rsidR="00BB6590" w:rsidRDefault="00BB6590" w:rsidP="00BB6590"/>
    <w:p w:rsidR="00D60C04" w:rsidRDefault="00D60C04" w:rsidP="00BB6590"/>
    <w:p w:rsidR="00D60C04" w:rsidRDefault="00BB6590" w:rsidP="00D60C04">
      <w:r>
        <w:t xml:space="preserve"> </w:t>
      </w:r>
    </w:p>
    <w:p w:rsidR="00BB6590" w:rsidRDefault="00BB6590" w:rsidP="00D60C04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D60C04" w:rsidRDefault="00D60C04" w:rsidP="00BB6590"/>
    <w:p w:rsidR="00BB6590" w:rsidRDefault="00BB6590" w:rsidP="00BB6590">
      <w:r>
        <w:t xml:space="preserve"> </w:t>
      </w:r>
    </w:p>
    <w:p w:rsidR="00BB6590" w:rsidRDefault="00BB6590" w:rsidP="00BB6590"/>
    <w:p w:rsidR="00D60C04" w:rsidRDefault="00D60C04" w:rsidP="00BB6590"/>
    <w:p w:rsidR="00BB6590" w:rsidRDefault="00BB6590" w:rsidP="00BB6590"/>
    <w:p w:rsidR="00D60C04" w:rsidRDefault="00D60C04" w:rsidP="00BB6590"/>
    <w:p w:rsidR="00D60C04" w:rsidRDefault="00D60C04" w:rsidP="00BB6590"/>
    <w:p w:rsidR="00D60C04" w:rsidRDefault="00D60C04" w:rsidP="00BB6590"/>
    <w:p w:rsidR="00BB6590" w:rsidRDefault="00BB6590" w:rsidP="00BB6590"/>
    <w:p w:rsidR="00276976" w:rsidRDefault="00276976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>
      <w:r>
        <w:t xml:space="preserve"> </w:t>
      </w:r>
    </w:p>
    <w:p w:rsidR="00BB6590" w:rsidRDefault="00BB6590" w:rsidP="00BB6590"/>
    <w:p w:rsidR="00BB6590" w:rsidRDefault="00BB6590" w:rsidP="00BB6590"/>
    <w:p w:rsidR="00276976" w:rsidRDefault="00276976" w:rsidP="00BB6590"/>
    <w:p w:rsidR="00BB6590" w:rsidRDefault="00BB6590" w:rsidP="00BB6590">
      <w:r>
        <w:t xml:space="preserve"> </w:t>
      </w:r>
    </w:p>
    <w:p w:rsidR="00BB6590" w:rsidRDefault="00BB6590" w:rsidP="00BB6590"/>
    <w:p w:rsidR="00935B12" w:rsidRDefault="00935B12" w:rsidP="00BB6590"/>
    <w:p w:rsidR="00276976" w:rsidRDefault="00276976" w:rsidP="00BB6590"/>
    <w:sectPr w:rsidR="0027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7F2D"/>
    <w:multiLevelType w:val="hybridMultilevel"/>
    <w:tmpl w:val="35D0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90"/>
    <w:rsid w:val="00011AD3"/>
    <w:rsid w:val="00013802"/>
    <w:rsid w:val="00033E4F"/>
    <w:rsid w:val="00070818"/>
    <w:rsid w:val="000F57EE"/>
    <w:rsid w:val="00130D49"/>
    <w:rsid w:val="00144F22"/>
    <w:rsid w:val="00184C71"/>
    <w:rsid w:val="001E7290"/>
    <w:rsid w:val="00243142"/>
    <w:rsid w:val="00276976"/>
    <w:rsid w:val="00276E00"/>
    <w:rsid w:val="0028571A"/>
    <w:rsid w:val="003D16A1"/>
    <w:rsid w:val="004525E2"/>
    <w:rsid w:val="00521561"/>
    <w:rsid w:val="0052577F"/>
    <w:rsid w:val="00526A7C"/>
    <w:rsid w:val="00543A56"/>
    <w:rsid w:val="00543DE8"/>
    <w:rsid w:val="005725E4"/>
    <w:rsid w:val="00576B50"/>
    <w:rsid w:val="005A1EEE"/>
    <w:rsid w:val="005B6024"/>
    <w:rsid w:val="006402F3"/>
    <w:rsid w:val="0066193D"/>
    <w:rsid w:val="007D5E0A"/>
    <w:rsid w:val="00854F16"/>
    <w:rsid w:val="008B58D9"/>
    <w:rsid w:val="00935B12"/>
    <w:rsid w:val="00A412C4"/>
    <w:rsid w:val="00AB2FB2"/>
    <w:rsid w:val="00AE296D"/>
    <w:rsid w:val="00B10DD6"/>
    <w:rsid w:val="00B15A3E"/>
    <w:rsid w:val="00B2095E"/>
    <w:rsid w:val="00B51785"/>
    <w:rsid w:val="00BB6590"/>
    <w:rsid w:val="00C95EA4"/>
    <w:rsid w:val="00CB1552"/>
    <w:rsid w:val="00D60C04"/>
    <w:rsid w:val="00D76CF8"/>
    <w:rsid w:val="00DA115B"/>
    <w:rsid w:val="00DA1584"/>
    <w:rsid w:val="00E57210"/>
    <w:rsid w:val="00EC61AA"/>
    <w:rsid w:val="00ED7158"/>
    <w:rsid w:val="00EE4D80"/>
    <w:rsid w:val="00F47B7B"/>
    <w:rsid w:val="00F50859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8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571A"/>
    <w:pPr>
      <w:ind w:left="720"/>
      <w:contextualSpacing/>
    </w:pPr>
  </w:style>
  <w:style w:type="table" w:styleId="a6">
    <w:name w:val="Table Grid"/>
    <w:basedOn w:val="a1"/>
    <w:uiPriority w:val="59"/>
    <w:rsid w:val="0024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8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571A"/>
    <w:pPr>
      <w:ind w:left="720"/>
      <w:contextualSpacing/>
    </w:pPr>
  </w:style>
  <w:style w:type="table" w:styleId="a6">
    <w:name w:val="Table Grid"/>
    <w:basedOn w:val="a1"/>
    <w:uiPriority w:val="59"/>
    <w:rsid w:val="0024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30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2013-05-29T12:20:00Z</cp:lastPrinted>
  <dcterms:created xsi:type="dcterms:W3CDTF">2013-05-29T06:37:00Z</dcterms:created>
  <dcterms:modified xsi:type="dcterms:W3CDTF">2013-06-04T14:15:00Z</dcterms:modified>
</cp:coreProperties>
</file>