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2" w:rsidRPr="00BE7118" w:rsidRDefault="00B2165F" w:rsidP="00C67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1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643C3C" w:rsidRPr="00BE7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18">
        <w:rPr>
          <w:rFonts w:ascii="Times New Roman" w:hAnsi="Times New Roman" w:cs="Times New Roman"/>
          <w:b/>
          <w:sz w:val="24"/>
          <w:szCs w:val="24"/>
        </w:rPr>
        <w:t xml:space="preserve"> слухового восприятия</w:t>
      </w:r>
      <w:r w:rsidR="00643C3C" w:rsidRPr="00BE7118">
        <w:rPr>
          <w:rFonts w:ascii="Times New Roman" w:hAnsi="Times New Roman" w:cs="Times New Roman"/>
          <w:b/>
          <w:sz w:val="24"/>
          <w:szCs w:val="24"/>
        </w:rPr>
        <w:t xml:space="preserve"> и памяти </w:t>
      </w:r>
      <w:r w:rsidR="00C67AB8" w:rsidRPr="00BE7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C3C" w:rsidRPr="00BE7118">
        <w:rPr>
          <w:rFonts w:ascii="Times New Roman" w:hAnsi="Times New Roman" w:cs="Times New Roman"/>
          <w:b/>
          <w:sz w:val="24"/>
          <w:szCs w:val="24"/>
        </w:rPr>
        <w:t>д</w:t>
      </w:r>
      <w:r w:rsidRPr="00BE7118">
        <w:rPr>
          <w:rFonts w:ascii="Times New Roman" w:hAnsi="Times New Roman" w:cs="Times New Roman"/>
          <w:b/>
          <w:sz w:val="24"/>
          <w:szCs w:val="24"/>
        </w:rPr>
        <w:t>етей</w:t>
      </w:r>
      <w:r w:rsidR="00643C3C" w:rsidRPr="00BE7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18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="00C67AB8" w:rsidRPr="00BE7118">
        <w:rPr>
          <w:rFonts w:ascii="Times New Roman" w:hAnsi="Times New Roman" w:cs="Times New Roman"/>
          <w:b/>
          <w:sz w:val="24"/>
          <w:szCs w:val="24"/>
        </w:rPr>
        <w:t xml:space="preserve"> (1,5-3 года).  Игры, направленные на развитие слухового восприятия и памяти.</w:t>
      </w:r>
    </w:p>
    <w:p w:rsidR="00BB0D39" w:rsidRDefault="00BB0D39" w:rsidP="00BB0D39">
      <w:pPr>
        <w:autoSpaceDE w:val="0"/>
        <w:autoSpaceDN w:val="0"/>
        <w:adjustRightInd w:val="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Учитель-дефектолог, сурдопедагог</w:t>
      </w:r>
    </w:p>
    <w:p w:rsidR="00BB0D39" w:rsidRDefault="00BB0D39" w:rsidP="00BB0D39">
      <w:pPr>
        <w:autoSpaceDE w:val="0"/>
        <w:autoSpaceDN w:val="0"/>
        <w:adjustRightInd w:val="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Карасева Н.Ю.</w:t>
      </w:r>
    </w:p>
    <w:p w:rsidR="00BB0D39" w:rsidRDefault="00BB0D39" w:rsidP="00BB0D39">
      <w:pPr>
        <w:autoSpaceDE w:val="0"/>
        <w:autoSpaceDN w:val="0"/>
        <w:adjustRightInd w:val="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ГДОУ № 27 «Надежда»</w:t>
      </w:r>
    </w:p>
    <w:p w:rsidR="00BB0D39" w:rsidRDefault="00BB0D39" w:rsidP="00BB0D39">
      <w:pPr>
        <w:autoSpaceDE w:val="0"/>
        <w:autoSpaceDN w:val="0"/>
        <w:adjustRightInd w:val="0"/>
        <w:jc w:val="right"/>
      </w:pPr>
    </w:p>
    <w:p w:rsidR="00BB0D39" w:rsidRDefault="00BB0D39" w:rsidP="00BB0D39">
      <w:pPr>
        <w:autoSpaceDE w:val="0"/>
        <w:autoSpaceDN w:val="0"/>
        <w:adjustRightInd w:val="0"/>
        <w:ind w:left="142" w:right="475" w:firstLine="426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настоящее время многие родители жалуются на то, что дети </w:t>
      </w:r>
      <w:r>
        <w:t>«</w:t>
      </w:r>
      <w:r>
        <w:rPr>
          <w:rFonts w:ascii="Times New Roman CYR" w:hAnsi="Times New Roman CYR"/>
        </w:rPr>
        <w:t>не хотят говорить</w:t>
      </w:r>
      <w:r>
        <w:t>»,  «</w:t>
      </w:r>
      <w:r>
        <w:rPr>
          <w:rFonts w:ascii="Times New Roman CYR" w:hAnsi="Times New Roman CYR"/>
        </w:rPr>
        <w:t>совсем не разговаривают</w:t>
      </w:r>
      <w:r>
        <w:t xml:space="preserve">», </w:t>
      </w:r>
      <w:r>
        <w:rPr>
          <w:rFonts w:ascii="Times New Roman CYR" w:hAnsi="Times New Roman CYR"/>
        </w:rPr>
        <w:t xml:space="preserve">а также,  многочисленные исследования специалистов  подтверждает  этот печальный факт - высокий уровень задержки речи у детей нынешнего поколения. Почему это происходит?  Причин этого множество:  генетическая предрасположенность,  неблагоприятные воздействия в период внутриутробного развития, длительные или стремительные роды, сложный </w:t>
      </w:r>
      <w:proofErr w:type="spellStart"/>
      <w:r>
        <w:rPr>
          <w:rFonts w:ascii="Times New Roman CYR" w:hAnsi="Times New Roman CYR"/>
        </w:rPr>
        <w:t>постнотальный</w:t>
      </w:r>
      <w:proofErr w:type="spellEnd"/>
      <w:r>
        <w:rPr>
          <w:rFonts w:ascii="Times New Roman CYR" w:hAnsi="Times New Roman CYR"/>
        </w:rPr>
        <w:t xml:space="preserve"> период, увеличенное внутричерепное давление, воздействие сильных медицинских препаратов, вялость мышц рта и артикуляционного аппарата,  крайне неблагоприятная обстановка в семье.  Еще одним важной причиной возникновения задержки речевого развития является чрезмерная слуховая и зрительная загруженность, т.е. постоянное воздействие на психику ребенка технических средств (компьютера, телевизора и т.п.) в виде звукового и зрительного фона. Следует помнить о том, что развитие речи тесно связано с развитием слуха. Поэтому чрезмерное увлечение новейшими технологиями негативно сказывается на развитии ребенка,  формировании его личности. </w:t>
      </w:r>
    </w:p>
    <w:p w:rsidR="00BB0D39" w:rsidRDefault="00BB0D39" w:rsidP="00BB0D39">
      <w:pPr>
        <w:autoSpaceDE w:val="0"/>
        <w:autoSpaceDN w:val="0"/>
        <w:adjustRightInd w:val="0"/>
        <w:ind w:left="142" w:right="475" w:firstLine="426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Развитие слуха  является очень важным аспектом, т.к. умение </w:t>
      </w:r>
      <w:r>
        <w:t>«</w:t>
      </w:r>
      <w:r>
        <w:rPr>
          <w:rFonts w:ascii="Times New Roman CYR" w:hAnsi="Times New Roman CYR"/>
        </w:rPr>
        <w:t>слушать и слышать</w:t>
      </w:r>
      <w:r>
        <w:t xml:space="preserve">»  </w:t>
      </w:r>
      <w:r>
        <w:rPr>
          <w:rFonts w:ascii="Times New Roman CYR" w:hAnsi="Times New Roman CYR"/>
        </w:rPr>
        <w:t xml:space="preserve">формирует  правильное звукопроизношение, закладывает основы правильного грамматического строя речи, является средством развития личности в целом.  Поэтому развитие слухового восприятия и памяти следует начинать  с  детьми  раннего возраста.  Слух состоит из двух компонентов: слухового восприятия и слуховой памяти. Слуховая память – это речевые и неречевые звучания (шумы природы, бытовых предметов, голосов животных, людей), музыкальная память. По этим направлениям следует проводить работу с детьми.  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</w:rPr>
        <w:t xml:space="preserve">Первоначально можно провести обследование  слуха (скрининг) ребенка, чтобы исключить нарушения слуха.  Для этого </w:t>
      </w:r>
      <w:r>
        <w:rPr>
          <w:rFonts w:ascii="Times New Roman CYR" w:hAnsi="Times New Roman CYR"/>
          <w:color w:val="000000"/>
        </w:rPr>
        <w:t>следует обратить внимание: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t xml:space="preserve">- </w:t>
      </w:r>
      <w:r>
        <w:rPr>
          <w:rFonts w:ascii="Times New Roman CYR" w:hAnsi="Times New Roman CYR"/>
        </w:rPr>
        <w:t>различает ли ребенок голоса окружающих его взрослых;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t>-</w:t>
      </w:r>
      <w:r>
        <w:rPr>
          <w:rFonts w:ascii="Times New Roman CYR" w:hAnsi="Times New Roman CYR"/>
        </w:rPr>
        <w:t>есть ли интерес к звучащим игрушкам (предметам);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t>-</w:t>
      </w:r>
      <w:r>
        <w:rPr>
          <w:rFonts w:ascii="Times New Roman CYR" w:hAnsi="Times New Roman CYR"/>
        </w:rPr>
        <w:t>реакция на крик, на  громкие, резкие  звуки;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t xml:space="preserve">- </w:t>
      </w:r>
      <w:r>
        <w:rPr>
          <w:rFonts w:ascii="Times New Roman CYR" w:hAnsi="Times New Roman CYR"/>
        </w:rPr>
        <w:t>выполняет ли ребенок простейшие поручения, просьбы;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t>-</w:t>
      </w:r>
      <w:r>
        <w:rPr>
          <w:rFonts w:ascii="Times New Roman CYR" w:hAnsi="Times New Roman CYR"/>
        </w:rPr>
        <w:t>воспринимает ли ребенок тон взрослого (ласковый - сердитый);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rPr>
          <w:rFonts w:ascii="Times New Roman CYR" w:hAnsi="Times New Roman CYR"/>
        </w:rPr>
      </w:pPr>
      <w:r>
        <w:t>-</w:t>
      </w:r>
      <w:r>
        <w:rPr>
          <w:rFonts w:ascii="Times New Roman CYR" w:hAnsi="Times New Roman CYR"/>
        </w:rPr>
        <w:t xml:space="preserve">отметить голосовые возможности ребенка (слишком </w:t>
      </w:r>
      <w:proofErr w:type="gramStart"/>
      <w:r>
        <w:rPr>
          <w:rFonts w:ascii="Times New Roman CYR" w:hAnsi="Times New Roman CYR"/>
        </w:rPr>
        <w:t>тихий</w:t>
      </w:r>
      <w:proofErr w:type="gramEnd"/>
      <w:r>
        <w:rPr>
          <w:rFonts w:ascii="Times New Roman CYR" w:hAnsi="Times New Roman CYR"/>
        </w:rPr>
        <w:t xml:space="preserve"> или громкий);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rPr>
          <w:rFonts w:ascii="Times New Roman CYR" w:hAnsi="Times New Roman CYR"/>
        </w:rPr>
      </w:pPr>
      <w:r>
        <w:t>-</w:t>
      </w:r>
      <w:r>
        <w:rPr>
          <w:rFonts w:ascii="Times New Roman CYR" w:hAnsi="Times New Roman CYR"/>
        </w:rPr>
        <w:t xml:space="preserve">плохое восприятие шепотной речи на расстоянии 6 метров (норма для ребенка в 1,5- 1,9 года); 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rPr>
          <w:rFonts w:ascii="Times New Roman CYR" w:hAnsi="Times New Roman CYR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198120</wp:posOffset>
            </wp:positionV>
            <wp:extent cx="2914650" cy="2190750"/>
            <wp:effectExtent l="19050" t="0" r="0" b="0"/>
            <wp:wrapSquare wrapText="bothSides"/>
            <wp:docPr id="2" name="Рисунок 4" descr="IMG_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09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Многие специалисты </w:t>
      </w:r>
      <w:r>
        <w:rPr>
          <w:rFonts w:ascii="Times New Roman CYR" w:hAnsi="Times New Roman CYR"/>
          <w:color w:val="000000"/>
        </w:rPr>
        <w:t xml:space="preserve">используют </w:t>
      </w:r>
      <w:r w:rsidRPr="00051CFE">
        <w:rPr>
          <w:rFonts w:ascii="Times New Roman CYR" w:hAnsi="Times New Roman CYR"/>
          <w:color w:val="000000"/>
          <w:u w:val="single"/>
        </w:rPr>
        <w:t xml:space="preserve">методику  </w:t>
      </w:r>
      <w:r w:rsidRPr="00051CFE">
        <w:rPr>
          <w:color w:val="000000"/>
          <w:u w:val="single"/>
        </w:rPr>
        <w:t>«</w:t>
      </w:r>
      <w:r w:rsidRPr="00051CFE">
        <w:rPr>
          <w:rFonts w:ascii="Times New Roman CYR" w:hAnsi="Times New Roman CYR"/>
          <w:color w:val="000000"/>
          <w:u w:val="single"/>
        </w:rPr>
        <w:t>Трех</w:t>
      </w:r>
      <w:r w:rsidRPr="00051CFE">
        <w:rPr>
          <w:rFonts w:ascii="Times New Roman CYR" w:hAnsi="Times New Roman CYR"/>
          <w:color w:val="000000"/>
        </w:rPr>
        <w:t xml:space="preserve"> </w:t>
      </w:r>
      <w:r w:rsidRPr="00051CFE">
        <w:rPr>
          <w:rFonts w:ascii="Times New Roman CYR" w:hAnsi="Times New Roman CYR"/>
          <w:color w:val="000000"/>
          <w:u w:val="single"/>
        </w:rPr>
        <w:t>коробочек</w:t>
      </w:r>
      <w:r w:rsidRPr="00051CFE">
        <w:rPr>
          <w:color w:val="000000"/>
          <w:u w:val="single"/>
        </w:rPr>
        <w:t>» И.В. Калмыковой</w:t>
      </w:r>
      <w:r w:rsidRPr="00051CFE">
        <w:rPr>
          <w:color w:val="000000"/>
        </w:rPr>
        <w:t xml:space="preserve">, </w:t>
      </w:r>
      <w:r>
        <w:rPr>
          <w:rFonts w:ascii="Times New Roman CYR" w:hAnsi="Times New Roman CYR"/>
        </w:rPr>
        <w:t>которая позволяет оценивать слух  по двигательным реакциям на звучание разных источников звука (звучащие игрушки и коробочки с разной крупой: манка, рис, горох).  А также, наборы для выработки условно – двигательной реакции  (УДР) на различные звучания: это могут быть наборы коробок с пробками, желудями, орехами, крупными пуговицами.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rPr>
          <w:rFonts w:ascii="Times New Roman CYR" w:hAnsi="Times New Roman CYR"/>
        </w:rPr>
      </w:pPr>
    </w:p>
    <w:p w:rsidR="00BB0D39" w:rsidRPr="00051CFE" w:rsidRDefault="00BB0D39" w:rsidP="00BB0D39">
      <w:pPr>
        <w:autoSpaceDE w:val="0"/>
        <w:autoSpaceDN w:val="0"/>
        <w:adjustRightInd w:val="0"/>
        <w:ind w:left="142" w:right="475"/>
        <w:jc w:val="both"/>
        <w:rPr>
          <w:rFonts w:ascii="Times New Roman CYR" w:hAnsi="Times New Roman CYR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914650" cy="2190750"/>
            <wp:effectExtent l="19050" t="0" r="0" b="0"/>
            <wp:wrapSquare wrapText="bothSides"/>
            <wp:docPr id="3" name="Рисунок 6" descr="IMG_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10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color w:val="000000"/>
        </w:rPr>
        <w:t>Для ознакомления  с новыми звучаниями, музыкальными предметами и развитием  слухового внимания и памяти</w:t>
      </w:r>
      <w:r>
        <w:rPr>
          <w:rFonts w:ascii="Times New Roman CYR" w:hAnsi="Times New Roman CYR"/>
        </w:rPr>
        <w:t xml:space="preserve"> целесообразно создать в группе уголок, в котором будут представлены музыкальные инструменты, пищалки, игрушки, наглядный и дидактический  материал, позволяющий сличать предмет и его изображение. Все  оборудование должно быть  доступно  детям, чтобы каждый ребенок по мере желания мог ознакомиться с игрушкой, и, соответственно звуком.</w:t>
      </w:r>
      <w:r>
        <w:rPr>
          <w:noProof/>
        </w:rPr>
        <w:t xml:space="preserve"> </w:t>
      </w:r>
    </w:p>
    <w:p w:rsidR="00BB0D39" w:rsidRDefault="00BB0D39" w:rsidP="00BB0D39">
      <w:pPr>
        <w:autoSpaceDE w:val="0"/>
        <w:autoSpaceDN w:val="0"/>
        <w:adjustRightInd w:val="0"/>
        <w:ind w:left="142" w:right="475"/>
        <w:jc w:val="right"/>
        <w:rPr>
          <w:noProof/>
        </w:rPr>
      </w:pP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 w:firstLine="426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Для развития речевого и неречевого слуха необходимо проводить  комплексную, систематическую, последовательную работу </w:t>
      </w:r>
      <w:r>
        <w:rPr>
          <w:rFonts w:ascii="Times New Roman CYR" w:hAnsi="Times New Roman CYR"/>
          <w:color w:val="000000"/>
        </w:rPr>
        <w:t>с привлечением дидактического и наглядного</w:t>
      </w:r>
      <w:r>
        <w:rPr>
          <w:rFonts w:ascii="Times New Roman CYR" w:hAnsi="Times New Roman CYR"/>
        </w:rPr>
        <w:t xml:space="preserve"> материала (предметных картинок,  раздаточного и словарного материала). Основным залогом успеха в работе по развитию слухового восприятия и памяти с детьми раннего возраста является проведение занятий в игре с частыми сменами видов деятельности. Необходим  яркий эмоциональный фон, красочные пособия и материалы, положительный настрой, который позволяет педагогам удерживать кратковременное внимание  малышей.  Предлагаемая  картотека игр была </w:t>
      </w:r>
      <w:proofErr w:type="spellStart"/>
      <w:r>
        <w:rPr>
          <w:rFonts w:ascii="Times New Roman CYR" w:hAnsi="Times New Roman CYR"/>
        </w:rPr>
        <w:t>опробирована</w:t>
      </w:r>
      <w:proofErr w:type="spellEnd"/>
      <w:r>
        <w:rPr>
          <w:rFonts w:ascii="Times New Roman CYR" w:hAnsi="Times New Roman CYR"/>
        </w:rPr>
        <w:t xml:space="preserve"> в совместной деятельности с детьми раннего возраста с нарушением слуха и  успешно применена в работе</w:t>
      </w:r>
      <w:r>
        <w:rPr>
          <w:rFonts w:ascii="Times New Roman CYR" w:hAnsi="Times New Roman CYR"/>
          <w:color w:val="000000"/>
        </w:rPr>
        <w:t xml:space="preserve">. Этот материал может быть использован и для детей с общим недоразвитием речи (ОНР).  </w:t>
      </w:r>
      <w:r>
        <w:rPr>
          <w:rFonts w:ascii="Times New Roman CYR" w:hAnsi="Times New Roman CYR"/>
        </w:rPr>
        <w:t xml:space="preserve">Данная  картотека игр представляет собой обобщенный, адаптированный материал для работы с детьми раннего возраста.  Игры можно усложнять и упрощать по мере необходимости. Собранная картотека позволяет педагогам использовать материал  в различных педагогических процессах: учебной деятельности, при проведении диагностического обследования, во время индивидуальных коррекционных занятий, при проведении режимных моментов и пр.  При описании словаря необходимо учитывать, что весь словарный материал для детей с нарушением слуха предъявляется написанным на табличках, следуя методике </w:t>
      </w:r>
      <w:r>
        <w:t>«</w:t>
      </w:r>
      <w:r>
        <w:rPr>
          <w:rFonts w:ascii="Times New Roman CYR" w:hAnsi="Times New Roman CYR"/>
        </w:rPr>
        <w:t>глобального чтения</w:t>
      </w:r>
      <w:r>
        <w:t xml:space="preserve">».  </w:t>
      </w:r>
      <w:r>
        <w:rPr>
          <w:rFonts w:ascii="Times New Roman CYR" w:hAnsi="Times New Roman CYR"/>
        </w:rPr>
        <w:t>В картотеке игр предложены игровые упражнения помогающие тренировке:</w:t>
      </w: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/>
        <w:jc w:val="both"/>
        <w:rPr>
          <w:rFonts w:ascii="Times New Roman CYR" w:hAnsi="Times New Roman CYR"/>
        </w:rPr>
      </w:pPr>
      <w:r>
        <w:lastRenderedPageBreak/>
        <w:t>1.</w:t>
      </w:r>
      <w:r>
        <w:rPr>
          <w:rFonts w:ascii="Times New Roman CYR" w:hAnsi="Times New Roman CYR"/>
        </w:rPr>
        <w:t>Определения  и нахождения источника звучания;</w:t>
      </w: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/>
        <w:jc w:val="both"/>
        <w:rPr>
          <w:rFonts w:ascii="Times New Roman CYR" w:hAnsi="Times New Roman CYR"/>
        </w:rPr>
      </w:pPr>
      <w:r>
        <w:t>2.</w:t>
      </w:r>
      <w:r>
        <w:rPr>
          <w:rFonts w:ascii="Times New Roman CYR" w:hAnsi="Times New Roman CYR"/>
        </w:rPr>
        <w:t>Различения силы звучания;</w:t>
      </w: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/>
        <w:jc w:val="both"/>
        <w:rPr>
          <w:rFonts w:ascii="Times New Roman CYR" w:hAnsi="Times New Roman CYR"/>
        </w:rPr>
      </w:pPr>
      <w:r>
        <w:t>3.</w:t>
      </w:r>
      <w:r>
        <w:rPr>
          <w:rFonts w:ascii="Times New Roman CYR" w:hAnsi="Times New Roman CYR"/>
        </w:rPr>
        <w:t>Различения длительности звучания;</w:t>
      </w: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/>
        <w:jc w:val="both"/>
        <w:rPr>
          <w:rFonts w:ascii="Times New Roman CYR" w:hAnsi="Times New Roman CYR"/>
        </w:rPr>
      </w:pPr>
      <w:r>
        <w:t>4.</w:t>
      </w:r>
      <w:r>
        <w:rPr>
          <w:rFonts w:ascii="Times New Roman CYR" w:hAnsi="Times New Roman CYR"/>
        </w:rPr>
        <w:t>Различения  и опознавания звучания музыкальных инструментов;</w:t>
      </w: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/>
        <w:jc w:val="both"/>
        <w:rPr>
          <w:rFonts w:ascii="Times New Roman CYR" w:hAnsi="Times New Roman CYR"/>
        </w:rPr>
      </w:pPr>
      <w:r>
        <w:t>5.</w:t>
      </w:r>
      <w:r>
        <w:rPr>
          <w:rFonts w:ascii="Times New Roman CYR" w:hAnsi="Times New Roman CYR"/>
        </w:rPr>
        <w:t>Выработка Условной - Двигательной Реакции (УДР);</w:t>
      </w:r>
    </w:p>
    <w:p w:rsidR="00BB0D39" w:rsidRDefault="00BB0D39" w:rsidP="00BB0D39">
      <w:pPr>
        <w:autoSpaceDE w:val="0"/>
        <w:autoSpaceDN w:val="0"/>
        <w:adjustRightInd w:val="0"/>
        <w:spacing w:after="120"/>
        <w:ind w:left="142" w:right="475"/>
        <w:jc w:val="both"/>
        <w:rPr>
          <w:rFonts w:ascii="Times New Roman CYR" w:hAnsi="Times New Roman CYR"/>
        </w:rPr>
      </w:pPr>
      <w:r>
        <w:t>6.</w:t>
      </w:r>
      <w:r>
        <w:rPr>
          <w:rFonts w:ascii="Times New Roman CYR" w:hAnsi="Times New Roman CYR"/>
        </w:rPr>
        <w:t>Определения и различения, опознавания  имен, звукоподражаний, названий  предметов;</w:t>
      </w:r>
    </w:p>
    <w:p w:rsidR="00BB0D39" w:rsidRDefault="00BB0D39" w:rsidP="00BB0D39">
      <w:pPr>
        <w:autoSpaceDE w:val="0"/>
        <w:autoSpaceDN w:val="0"/>
        <w:adjustRightInd w:val="0"/>
        <w:ind w:left="142" w:right="475" w:firstLine="426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планомерной совместной  деятельности с детьми раннего возраста значительно повышается качество усвоения учебного материала: повышается уровень речевого и неречевого слуха детей, облегчается выработка условной двигательной реакции на звучание различных музыкальных инструментов; повышается уровень познавательной активности детей. Следствием этого является возникновения желания самостоятельного говорения, пробуждения речевой активности каждого ребенка.</w:t>
      </w:r>
    </w:p>
    <w:p w:rsidR="00C67AB8" w:rsidRPr="00BB0D39" w:rsidRDefault="00C67AB8" w:rsidP="00BB0D3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67AB8" w:rsidRPr="00BB0D39" w:rsidSect="00BA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EC7"/>
    <w:multiLevelType w:val="hybridMultilevel"/>
    <w:tmpl w:val="BA08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B71BF"/>
    <w:multiLevelType w:val="hybridMultilevel"/>
    <w:tmpl w:val="BA08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A23AF"/>
    <w:multiLevelType w:val="hybridMultilevel"/>
    <w:tmpl w:val="818EC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A965CC"/>
    <w:multiLevelType w:val="hybridMultilevel"/>
    <w:tmpl w:val="8C2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6B10"/>
    <w:multiLevelType w:val="hybridMultilevel"/>
    <w:tmpl w:val="BA08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24FDB"/>
    <w:multiLevelType w:val="hybridMultilevel"/>
    <w:tmpl w:val="BA08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65F"/>
    <w:rsid w:val="00133349"/>
    <w:rsid w:val="001A2B3F"/>
    <w:rsid w:val="003949AB"/>
    <w:rsid w:val="00643C3C"/>
    <w:rsid w:val="00690FCA"/>
    <w:rsid w:val="006B70B3"/>
    <w:rsid w:val="007578D8"/>
    <w:rsid w:val="00777BC2"/>
    <w:rsid w:val="007A1046"/>
    <w:rsid w:val="007C49CB"/>
    <w:rsid w:val="00856385"/>
    <w:rsid w:val="00870D5C"/>
    <w:rsid w:val="00913C7E"/>
    <w:rsid w:val="009243EE"/>
    <w:rsid w:val="00987307"/>
    <w:rsid w:val="00AC4C41"/>
    <w:rsid w:val="00B05A2A"/>
    <w:rsid w:val="00B2165F"/>
    <w:rsid w:val="00B3323F"/>
    <w:rsid w:val="00BA70D2"/>
    <w:rsid w:val="00BB0D39"/>
    <w:rsid w:val="00BE7118"/>
    <w:rsid w:val="00BF6A60"/>
    <w:rsid w:val="00C13DAA"/>
    <w:rsid w:val="00C67AB8"/>
    <w:rsid w:val="00C8144A"/>
    <w:rsid w:val="00CC2E17"/>
    <w:rsid w:val="00CE1B7F"/>
    <w:rsid w:val="00D76FD6"/>
    <w:rsid w:val="00E86C73"/>
    <w:rsid w:val="00E979B2"/>
    <w:rsid w:val="00EA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33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333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92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243E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43EE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AC4C41"/>
    <w:pPr>
      <w:ind w:left="720"/>
      <w:contextualSpacing/>
    </w:pPr>
  </w:style>
  <w:style w:type="paragraph" w:styleId="2">
    <w:name w:val="Body Text Indent 2"/>
    <w:basedOn w:val="a"/>
    <w:link w:val="20"/>
    <w:rsid w:val="00AC4C41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4C4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13</cp:revision>
  <dcterms:created xsi:type="dcterms:W3CDTF">2011-05-09T04:14:00Z</dcterms:created>
  <dcterms:modified xsi:type="dcterms:W3CDTF">2011-06-06T03:53:00Z</dcterms:modified>
</cp:coreProperties>
</file>