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54" w:rsidRDefault="00CC2554" w:rsidP="00CC2554">
      <w:pPr>
        <w:pStyle w:val="a3"/>
        <w:ind w:left="-284" w:right="-14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Диагности</w:t>
      </w:r>
      <w:r w:rsidR="00A2693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ка готовности к обучению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грамоте детей с ОВЗ.</w:t>
      </w:r>
    </w:p>
    <w:p w:rsidR="00CC2554" w:rsidRPr="00CC2554" w:rsidRDefault="00CC2554" w:rsidP="00CC2554">
      <w:pPr>
        <w:pStyle w:val="a3"/>
        <w:ind w:left="-284" w:right="-14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7636A" w:rsidRDefault="00CC2554" w:rsidP="00985EF3">
      <w:pPr>
        <w:pStyle w:val="a3"/>
        <w:ind w:left="-284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67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сегодняшний день система образования предъявляет достаточно высокие требования к выпускникам дошкольных учреждений. Одним из актуальных вопросов в общей готовности к школе, по мнению ученых, является формирование речевой готовности к обучению в школе. Вместе с тем, количество детей, имеющих отклонения в речевом развитии неуклонно растет. Эти дети составляют основную группу риска по школьной неуспеваемости, особенно при овладении письмом и чтением. Большую часть детей, имеющих проблемы в обучении, составляют дети с </w:t>
      </w:r>
      <w:proofErr w:type="spellStart"/>
      <w:r w:rsidR="0067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="0067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фонематических представлений. Эти дети с трудом овладевают готовностью к обучению грамоте.</w:t>
      </w:r>
    </w:p>
    <w:p w:rsidR="00985EF3" w:rsidRDefault="0067636A" w:rsidP="00985EF3">
      <w:pPr>
        <w:pStyle w:val="a3"/>
        <w:ind w:left="-284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подборе диагностического материала для определения  речевой готовности дошкольников  к обучению в школе необходимо сделать акцент на исследовании фонематического восприятия, языкового анализа и синтеза, </w:t>
      </w:r>
      <w:proofErr w:type="spellStart"/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</w:t>
      </w:r>
      <w:proofErr w:type="spellEnd"/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-слоговой структуры, лексико-грамматического строя речи. Важным является  и умение ребёнка слушать, запоминать и пересказывать тексты,  самостоятельно составлять  рассказы. Поэтому уровень развития связной речи  ребёнка также необходимо оценить. </w:t>
      </w:r>
      <w:r w:rsidR="00985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Предлагаемый материал представляет собой краткий обзор известных методик (</w:t>
      </w:r>
      <w:proofErr w:type="spellStart"/>
      <w:r w:rsidR="00985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Фотековой</w:t>
      </w:r>
      <w:proofErr w:type="spellEnd"/>
      <w:r w:rsidR="00985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Т.А и Колесниковой Е.В.), а так же </w:t>
      </w:r>
      <w:proofErr w:type="gramStart"/>
      <w:r w:rsidR="00985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составленную</w:t>
      </w:r>
      <w:proofErr w:type="gramEnd"/>
      <w:r w:rsidR="00985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 используемую на практике в ДОУ экспресс-диагностику. </w:t>
      </w:r>
    </w:p>
    <w:p w:rsidR="0067636A" w:rsidRPr="002961F9" w:rsidRDefault="0067636A" w:rsidP="00985EF3">
      <w:pPr>
        <w:pStyle w:val="a3"/>
        <w:ind w:left="-284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Чаще всего для определения уровня готовности к обучению грамоте используют «Тестовую методику</w:t>
      </w: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диагностики устной речи младших школьников» </w:t>
      </w:r>
      <w:proofErr w:type="spellStart"/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Фотековой</w:t>
      </w:r>
      <w:proofErr w:type="spellEnd"/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А. Взяв  за осн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ову данную методику, можно выделить ряд, значимых </w:t>
      </w: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авлений диагностики,   адаптированных</w:t>
      </w: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дошко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льников </w:t>
      </w: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определен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речевой готовности к школе предлагается</w:t>
      </w: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использовать  следующие направления диагностики:</w:t>
      </w:r>
    </w:p>
    <w:p w:rsidR="0067636A" w:rsidRPr="001246BA" w:rsidRDefault="0067636A" w:rsidP="00267593">
      <w:pPr>
        <w:pStyle w:val="a3"/>
        <w:numPr>
          <w:ilvl w:val="0"/>
          <w:numId w:val="3"/>
        </w:numPr>
        <w:ind w:right="-143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Исследование состояния фонематического восприятия.</w:t>
      </w:r>
    </w:p>
    <w:p w:rsidR="0067636A" w:rsidRPr="001246BA" w:rsidRDefault="0067636A" w:rsidP="00267593">
      <w:pPr>
        <w:pStyle w:val="a3"/>
        <w:numPr>
          <w:ilvl w:val="0"/>
          <w:numId w:val="3"/>
        </w:numPr>
        <w:ind w:right="-143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Исследование языкового анализа и синтеза.</w:t>
      </w:r>
    </w:p>
    <w:p w:rsidR="0067636A" w:rsidRPr="001246BA" w:rsidRDefault="0067636A" w:rsidP="00267593">
      <w:pPr>
        <w:pStyle w:val="a3"/>
        <w:numPr>
          <w:ilvl w:val="0"/>
          <w:numId w:val="3"/>
        </w:numPr>
        <w:ind w:right="-143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Исследование фонематического анализа.</w:t>
      </w:r>
    </w:p>
    <w:p w:rsidR="0067636A" w:rsidRPr="001246BA" w:rsidRDefault="0067636A" w:rsidP="00267593">
      <w:pPr>
        <w:pStyle w:val="a3"/>
        <w:numPr>
          <w:ilvl w:val="0"/>
          <w:numId w:val="3"/>
        </w:numPr>
        <w:ind w:right="-143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Исследование фонематического синтеза.</w:t>
      </w:r>
    </w:p>
    <w:p w:rsidR="0067636A" w:rsidRPr="001246BA" w:rsidRDefault="0067636A" w:rsidP="00267593">
      <w:pPr>
        <w:pStyle w:val="a3"/>
        <w:numPr>
          <w:ilvl w:val="0"/>
          <w:numId w:val="3"/>
        </w:numPr>
        <w:ind w:right="-143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Исследование </w:t>
      </w:r>
      <w:proofErr w:type="spellStart"/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звуко</w:t>
      </w:r>
      <w:proofErr w:type="spellEnd"/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-слоговой структуры слова.</w:t>
      </w:r>
    </w:p>
    <w:p w:rsidR="0067636A" w:rsidRPr="001246BA" w:rsidRDefault="0067636A" w:rsidP="00267593">
      <w:pPr>
        <w:pStyle w:val="a3"/>
        <w:numPr>
          <w:ilvl w:val="0"/>
          <w:numId w:val="3"/>
        </w:numPr>
        <w:ind w:right="-143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Исследование словаря и навыков словообразования.</w:t>
      </w:r>
    </w:p>
    <w:p w:rsidR="0067636A" w:rsidRPr="001246BA" w:rsidRDefault="0067636A" w:rsidP="00267593">
      <w:pPr>
        <w:pStyle w:val="a3"/>
        <w:numPr>
          <w:ilvl w:val="0"/>
          <w:numId w:val="3"/>
        </w:numPr>
        <w:ind w:right="-143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Исследование грамматического строя речи.</w:t>
      </w:r>
    </w:p>
    <w:p w:rsidR="0067636A" w:rsidRPr="001246BA" w:rsidRDefault="0067636A" w:rsidP="00267593">
      <w:pPr>
        <w:pStyle w:val="a3"/>
        <w:numPr>
          <w:ilvl w:val="0"/>
          <w:numId w:val="3"/>
        </w:numPr>
        <w:ind w:right="-143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Исследование связной речи.</w:t>
      </w:r>
    </w:p>
    <w:p w:rsidR="0067636A" w:rsidRPr="002961F9" w:rsidRDefault="0067636A" w:rsidP="0067636A">
      <w:pPr>
        <w:pStyle w:val="a3"/>
        <w:ind w:left="-284"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каждому из этих направлений предполаг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ается выполнение  детьми одного </w:t>
      </w: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нескольких   тестовых заданий. Каждое задание имеет  инструкцию, комментарии и критерии оценки по трём уровням. (</w:t>
      </w:r>
      <w:proofErr w:type="spellStart"/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Start"/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proofErr w:type="spellEnd"/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.Для удобства результаты диагностики заносятся в таблицу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№2)</w:t>
      </w:r>
    </w:p>
    <w:p w:rsidR="0067636A" w:rsidRPr="002961F9" w:rsidRDefault="0067636A" w:rsidP="0067636A">
      <w:pPr>
        <w:pStyle w:val="a3"/>
        <w:ind w:left="-284"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Диагностика готовности к чтению и письму детей 6-7 лет  </w:t>
      </w:r>
      <w:proofErr w:type="spellStart"/>
      <w:r w:rsidRPr="00310C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Е.В.Колесниковой</w:t>
      </w:r>
      <w:proofErr w:type="spellEnd"/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направлена на изучени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строения звуковой формы слова</w:t>
      </w: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именно </w:t>
      </w:r>
      <w:proofErr w:type="spellStart"/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добукварного</w:t>
      </w:r>
      <w:proofErr w:type="spellEnd"/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периода. Изучение достижений ребенка позволяет нам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етить пути дальнейшего обучения</w:t>
      </w:r>
      <w:r w:rsidRPr="00296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 же определить области знаний и умений, в которых ребенок испытывает затруднения. Диагностические задан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представлены пятью разделами:</w:t>
      </w:r>
    </w:p>
    <w:p w:rsidR="0067636A" w:rsidRPr="001246BA" w:rsidRDefault="0067636A" w:rsidP="00267593">
      <w:pPr>
        <w:pStyle w:val="a3"/>
        <w:numPr>
          <w:ilvl w:val="0"/>
          <w:numId w:val="2"/>
        </w:numPr>
        <w:ind w:right="-143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Развитие звуковой культуры речи</w:t>
      </w:r>
    </w:p>
    <w:p w:rsidR="0067636A" w:rsidRPr="001246BA" w:rsidRDefault="0067636A" w:rsidP="00267593">
      <w:pPr>
        <w:pStyle w:val="a3"/>
        <w:numPr>
          <w:ilvl w:val="0"/>
          <w:numId w:val="2"/>
        </w:numPr>
        <w:ind w:right="-143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246B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Развитие фонематического слуха</w:t>
      </w:r>
    </w:p>
    <w:p w:rsidR="0067636A" w:rsidRPr="00267593" w:rsidRDefault="0067636A" w:rsidP="00267593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67593">
        <w:rPr>
          <w:rFonts w:ascii="Times New Roman" w:hAnsi="Times New Roman"/>
          <w:b/>
          <w:i/>
          <w:sz w:val="28"/>
          <w:szCs w:val="28"/>
          <w:lang w:eastAsia="ru-RU"/>
        </w:rPr>
        <w:t>Развитие графических навыков и моторики</w:t>
      </w:r>
    </w:p>
    <w:p w:rsidR="0067636A" w:rsidRPr="00267593" w:rsidRDefault="0067636A" w:rsidP="00CC255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67593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Развитие </w:t>
      </w:r>
      <w:proofErr w:type="spellStart"/>
      <w:proofErr w:type="gramStart"/>
      <w:r w:rsidRPr="00267593">
        <w:rPr>
          <w:rFonts w:ascii="Times New Roman" w:hAnsi="Times New Roman"/>
          <w:b/>
          <w:i/>
          <w:sz w:val="28"/>
          <w:szCs w:val="28"/>
          <w:lang w:eastAsia="ru-RU"/>
        </w:rPr>
        <w:t>звуко</w:t>
      </w:r>
      <w:proofErr w:type="spellEnd"/>
      <w:r w:rsidRPr="00267593">
        <w:rPr>
          <w:rFonts w:ascii="Times New Roman" w:hAnsi="Times New Roman"/>
          <w:b/>
          <w:i/>
          <w:sz w:val="28"/>
          <w:szCs w:val="28"/>
          <w:lang w:eastAsia="ru-RU"/>
        </w:rPr>
        <w:t>-буквенного</w:t>
      </w:r>
      <w:proofErr w:type="gramEnd"/>
      <w:r w:rsidRPr="00267593">
        <w:rPr>
          <w:rFonts w:ascii="Times New Roman" w:hAnsi="Times New Roman"/>
          <w:b/>
          <w:i/>
          <w:sz w:val="28"/>
          <w:szCs w:val="28"/>
          <w:lang w:eastAsia="ru-RU"/>
        </w:rPr>
        <w:t xml:space="preserve"> анализа                    </w:t>
      </w:r>
    </w:p>
    <w:p w:rsidR="00267593" w:rsidRPr="00267593" w:rsidRDefault="00267593" w:rsidP="00267593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67593">
        <w:rPr>
          <w:rFonts w:ascii="Times New Roman" w:hAnsi="Times New Roman"/>
          <w:b/>
          <w:i/>
          <w:sz w:val="28"/>
          <w:szCs w:val="28"/>
          <w:lang w:eastAsia="ru-RU"/>
        </w:rPr>
        <w:t>Чтение</w:t>
      </w:r>
    </w:p>
    <w:p w:rsidR="0061036D" w:rsidRPr="00267593" w:rsidRDefault="00CC2554" w:rsidP="004C12E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7636A" w:rsidRPr="00CC2554">
        <w:rPr>
          <w:rFonts w:ascii="Times New Roman" w:hAnsi="Times New Roman"/>
          <w:sz w:val="28"/>
          <w:szCs w:val="28"/>
          <w:lang w:eastAsia="ru-RU"/>
        </w:rPr>
        <w:t>Результа</w:t>
      </w:r>
      <w:r w:rsidRPr="00CC2554">
        <w:rPr>
          <w:rFonts w:ascii="Times New Roman" w:hAnsi="Times New Roman"/>
          <w:sz w:val="28"/>
          <w:szCs w:val="28"/>
          <w:lang w:eastAsia="ru-RU"/>
        </w:rPr>
        <w:t>ты</w:t>
      </w:r>
      <w:r>
        <w:rPr>
          <w:rFonts w:ascii="Times New Roman" w:hAnsi="Times New Roman"/>
          <w:sz w:val="28"/>
          <w:szCs w:val="28"/>
          <w:lang w:eastAsia="ru-RU"/>
        </w:rPr>
        <w:t xml:space="preserve">\\ </w:t>
      </w:r>
      <w:r w:rsidR="0067636A" w:rsidRPr="00267593">
        <w:rPr>
          <w:rFonts w:ascii="Times New Roman" w:hAnsi="Times New Roman"/>
          <w:sz w:val="28"/>
          <w:szCs w:val="28"/>
          <w:lang w:eastAsia="ru-RU"/>
        </w:rPr>
        <w:t>диагностики заносятся в та</w:t>
      </w:r>
      <w:r w:rsidR="00985EF3" w:rsidRPr="00267593">
        <w:rPr>
          <w:rFonts w:ascii="Times New Roman" w:hAnsi="Times New Roman"/>
          <w:sz w:val="28"/>
          <w:szCs w:val="28"/>
          <w:lang w:eastAsia="ru-RU"/>
        </w:rPr>
        <w:t>блицу.</w:t>
      </w:r>
    </w:p>
    <w:p w:rsidR="004C12E4" w:rsidRPr="00267593" w:rsidRDefault="00267593" w:rsidP="0026759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59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C12E4" w:rsidRPr="00267593">
        <w:rPr>
          <w:rFonts w:ascii="Times New Roman" w:hAnsi="Times New Roman"/>
          <w:sz w:val="28"/>
          <w:szCs w:val="28"/>
          <w:lang w:eastAsia="ru-RU"/>
        </w:rPr>
        <w:t>Предлагаемая э</w:t>
      </w:r>
      <w:r w:rsidR="00985EF3" w:rsidRPr="00267593">
        <w:rPr>
          <w:rFonts w:ascii="Times New Roman" w:hAnsi="Times New Roman"/>
          <w:sz w:val="28"/>
          <w:szCs w:val="28"/>
          <w:lang w:eastAsia="ru-RU"/>
        </w:rPr>
        <w:t>кспресс-диагностика</w:t>
      </w:r>
      <w:r w:rsidR="004C12E4" w:rsidRPr="00267593">
        <w:rPr>
          <w:rFonts w:ascii="Times New Roman" w:hAnsi="Times New Roman"/>
          <w:sz w:val="28"/>
          <w:szCs w:val="28"/>
          <w:lang w:eastAsia="ru-RU"/>
        </w:rPr>
        <w:t xml:space="preserve">, на протяжении многих лет является незаменимым материалом для </w:t>
      </w:r>
      <w:proofErr w:type="gramStart"/>
      <w:r w:rsidR="004C12E4" w:rsidRPr="00267593">
        <w:rPr>
          <w:rFonts w:ascii="Times New Roman" w:hAnsi="Times New Roman"/>
          <w:sz w:val="28"/>
          <w:szCs w:val="28"/>
          <w:lang w:eastAsia="ru-RU"/>
        </w:rPr>
        <w:t>проведения</w:t>
      </w:r>
      <w:proofErr w:type="gramEnd"/>
      <w:r w:rsidR="004C12E4" w:rsidRPr="00267593">
        <w:rPr>
          <w:rFonts w:ascii="Times New Roman" w:hAnsi="Times New Roman"/>
          <w:sz w:val="28"/>
          <w:szCs w:val="28"/>
          <w:lang w:eastAsia="ru-RU"/>
        </w:rPr>
        <w:t xml:space="preserve"> как промежуточных мониторингов, так и итоговых  в конце года. Диагностика д</w:t>
      </w:r>
      <w:r w:rsidR="00077021">
        <w:rPr>
          <w:rFonts w:ascii="Times New Roman" w:hAnsi="Times New Roman"/>
          <w:sz w:val="28"/>
          <w:szCs w:val="28"/>
          <w:lang w:eastAsia="ru-RU"/>
        </w:rPr>
        <w:t>ошкольника</w:t>
      </w:r>
      <w:r w:rsidR="004C12E4" w:rsidRPr="00267593">
        <w:rPr>
          <w:rFonts w:ascii="Times New Roman" w:hAnsi="Times New Roman"/>
          <w:sz w:val="28"/>
          <w:szCs w:val="28"/>
          <w:lang w:eastAsia="ru-RU"/>
        </w:rPr>
        <w:t xml:space="preserve"> с ОВЗ проводится по следующим направлениям:</w:t>
      </w:r>
    </w:p>
    <w:p w:rsidR="004C12E4" w:rsidRPr="00267593" w:rsidRDefault="004C12E4" w:rsidP="002675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267593">
        <w:rPr>
          <w:rFonts w:ascii="Times New Roman" w:hAnsi="Times New Roman"/>
          <w:b/>
          <w:sz w:val="28"/>
          <w:szCs w:val="28"/>
          <w:u w:val="single"/>
        </w:rPr>
        <w:t>Сформированность</w:t>
      </w:r>
      <w:proofErr w:type="spellEnd"/>
      <w:r w:rsidRPr="00267593">
        <w:rPr>
          <w:rFonts w:ascii="Times New Roman" w:hAnsi="Times New Roman"/>
          <w:b/>
          <w:sz w:val="28"/>
          <w:szCs w:val="28"/>
          <w:u w:val="single"/>
        </w:rPr>
        <w:t xml:space="preserve"> фонематического анализа и синтеза</w:t>
      </w:r>
    </w:p>
    <w:p w:rsidR="004C12E4" w:rsidRPr="00267593" w:rsidRDefault="004C12E4" w:rsidP="002675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67593">
        <w:rPr>
          <w:rFonts w:ascii="Times New Roman" w:hAnsi="Times New Roman"/>
          <w:b/>
          <w:sz w:val="28"/>
          <w:szCs w:val="28"/>
        </w:rPr>
        <w:t>Умение характеризовать звуки</w:t>
      </w:r>
    </w:p>
    <w:p w:rsidR="004C12E4" w:rsidRPr="00267593" w:rsidRDefault="004C12E4" w:rsidP="002675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67593">
        <w:rPr>
          <w:rFonts w:ascii="Times New Roman" w:hAnsi="Times New Roman"/>
          <w:b/>
          <w:sz w:val="28"/>
          <w:szCs w:val="28"/>
        </w:rPr>
        <w:t xml:space="preserve"> Умение выделять ударение</w:t>
      </w:r>
    </w:p>
    <w:p w:rsidR="00985EF3" w:rsidRPr="00267593" w:rsidRDefault="004C12E4" w:rsidP="002675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267593">
        <w:rPr>
          <w:rFonts w:ascii="Times New Roman" w:hAnsi="Times New Roman"/>
          <w:b/>
          <w:sz w:val="28"/>
          <w:szCs w:val="28"/>
        </w:rPr>
        <w:t xml:space="preserve"> Умение определять слоговую структуру</w:t>
      </w:r>
      <w:r w:rsidR="00985EF3" w:rsidRPr="0026759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C12E4" w:rsidRPr="00267593" w:rsidRDefault="004C12E4" w:rsidP="002675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67593">
        <w:rPr>
          <w:rFonts w:ascii="Times New Roman" w:hAnsi="Times New Roman"/>
          <w:b/>
          <w:sz w:val="28"/>
          <w:szCs w:val="28"/>
          <w:u w:val="single"/>
        </w:rPr>
        <w:t>Знание букв и чтение слов</w:t>
      </w:r>
    </w:p>
    <w:p w:rsidR="004C12E4" w:rsidRPr="00267593" w:rsidRDefault="004C12E4" w:rsidP="002675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267593">
        <w:rPr>
          <w:rFonts w:ascii="Times New Roman" w:hAnsi="Times New Roman"/>
          <w:b/>
          <w:sz w:val="28"/>
          <w:szCs w:val="28"/>
          <w:u w:val="single"/>
        </w:rPr>
        <w:t xml:space="preserve"> Умение согласовывать</w:t>
      </w:r>
      <w:r w:rsidR="00267593" w:rsidRPr="0026759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C12E4" w:rsidRPr="00267593" w:rsidRDefault="004C12E4" w:rsidP="002675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67593">
        <w:rPr>
          <w:rFonts w:ascii="Times New Roman" w:hAnsi="Times New Roman"/>
          <w:b/>
          <w:sz w:val="28"/>
          <w:szCs w:val="28"/>
        </w:rPr>
        <w:t>а) существительное с прилагательным</w:t>
      </w:r>
    </w:p>
    <w:p w:rsidR="004C12E4" w:rsidRPr="00267593" w:rsidRDefault="004C12E4" w:rsidP="002675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67593">
        <w:rPr>
          <w:rFonts w:ascii="Times New Roman" w:hAnsi="Times New Roman"/>
          <w:b/>
          <w:sz w:val="28"/>
          <w:szCs w:val="28"/>
        </w:rPr>
        <w:t>существительное с местоимением</w:t>
      </w:r>
    </w:p>
    <w:p w:rsidR="004C12E4" w:rsidRPr="00267593" w:rsidRDefault="004C12E4" w:rsidP="002675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67593">
        <w:rPr>
          <w:rFonts w:ascii="Times New Roman" w:hAnsi="Times New Roman"/>
          <w:b/>
          <w:sz w:val="28"/>
          <w:szCs w:val="28"/>
        </w:rPr>
        <w:t>существительное с числительными</w:t>
      </w:r>
    </w:p>
    <w:p w:rsidR="004C12E4" w:rsidRPr="00267593" w:rsidRDefault="004C12E4" w:rsidP="002675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267593">
        <w:rPr>
          <w:rFonts w:ascii="Times New Roman" w:hAnsi="Times New Roman"/>
          <w:b/>
          <w:sz w:val="28"/>
          <w:szCs w:val="28"/>
          <w:u w:val="single"/>
        </w:rPr>
        <w:t xml:space="preserve"> Знание структуры предложения</w:t>
      </w:r>
    </w:p>
    <w:p w:rsidR="004C12E4" w:rsidRPr="00267593" w:rsidRDefault="004C12E4" w:rsidP="002675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67593">
        <w:rPr>
          <w:rFonts w:ascii="Times New Roman" w:hAnsi="Times New Roman"/>
          <w:b/>
          <w:sz w:val="28"/>
          <w:szCs w:val="28"/>
        </w:rPr>
        <w:t>а) Умение составить предложение</w:t>
      </w:r>
    </w:p>
    <w:p w:rsidR="004C12E4" w:rsidRPr="00267593" w:rsidRDefault="004C12E4" w:rsidP="0026759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67593">
        <w:rPr>
          <w:rFonts w:ascii="Times New Roman" w:hAnsi="Times New Roman"/>
          <w:b/>
          <w:sz w:val="28"/>
          <w:szCs w:val="28"/>
        </w:rPr>
        <w:t>б) Умение делить предложение на сло</w:t>
      </w:r>
      <w:r w:rsidR="00CC2554">
        <w:rPr>
          <w:rFonts w:ascii="Times New Roman" w:hAnsi="Times New Roman"/>
          <w:b/>
          <w:sz w:val="28"/>
          <w:szCs w:val="28"/>
        </w:rPr>
        <w:t>ва</w:t>
      </w:r>
    </w:p>
    <w:p w:rsidR="00267593" w:rsidRDefault="00267593" w:rsidP="005C37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593">
        <w:rPr>
          <w:rFonts w:ascii="Times New Roman" w:hAnsi="Times New Roman"/>
          <w:sz w:val="28"/>
          <w:szCs w:val="28"/>
        </w:rPr>
        <w:t>Диагностические листы заполняются на каждого ребенка, а результаты заносятся в таблицу</w:t>
      </w:r>
      <w:proofErr w:type="gramStart"/>
      <w:r w:rsidRPr="00267593">
        <w:rPr>
          <w:rFonts w:ascii="Times New Roman" w:hAnsi="Times New Roman"/>
          <w:sz w:val="28"/>
          <w:szCs w:val="28"/>
        </w:rPr>
        <w:t>.</w:t>
      </w:r>
      <w:proofErr w:type="gramEnd"/>
      <w:r w:rsidR="00CC2554">
        <w:rPr>
          <w:rFonts w:ascii="Times New Roman" w:hAnsi="Times New Roman"/>
          <w:sz w:val="28"/>
          <w:szCs w:val="28"/>
        </w:rPr>
        <w:t xml:space="preserve"> </w:t>
      </w:r>
      <w:r w:rsidR="00430F0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30F09">
        <w:rPr>
          <w:rFonts w:ascii="Times New Roman" w:hAnsi="Times New Roman"/>
          <w:sz w:val="28"/>
          <w:szCs w:val="28"/>
        </w:rPr>
        <w:t>с</w:t>
      </w:r>
      <w:proofErr w:type="gramEnd"/>
      <w:r w:rsidR="00430F09">
        <w:rPr>
          <w:rFonts w:ascii="Times New Roman" w:hAnsi="Times New Roman"/>
          <w:sz w:val="28"/>
          <w:szCs w:val="28"/>
        </w:rPr>
        <w:t xml:space="preserve">м. </w:t>
      </w:r>
      <w:bookmarkStart w:id="0" w:name="_GoBack"/>
      <w:bookmarkEnd w:id="0"/>
      <w:proofErr w:type="spellStart"/>
      <w:r w:rsidR="00430F09">
        <w:rPr>
          <w:rFonts w:ascii="Times New Roman" w:hAnsi="Times New Roman"/>
          <w:sz w:val="28"/>
          <w:szCs w:val="28"/>
        </w:rPr>
        <w:t>Приложени</w:t>
      </w:r>
      <w:proofErr w:type="spellEnd"/>
      <w:r w:rsidR="00430F09">
        <w:rPr>
          <w:rFonts w:ascii="Times New Roman" w:hAnsi="Times New Roman"/>
          <w:sz w:val="28"/>
          <w:szCs w:val="28"/>
        </w:rPr>
        <w:t xml:space="preserve"> 3 и 4).</w:t>
      </w:r>
      <w:r w:rsidR="00CC2554">
        <w:rPr>
          <w:rFonts w:ascii="Times New Roman" w:hAnsi="Times New Roman"/>
          <w:sz w:val="28"/>
          <w:szCs w:val="28"/>
        </w:rPr>
        <w:t xml:space="preserve">Для большей наглядности уровни  готовности выделены разным цветом. Дополнительно можно использовать графические тесты, для определения </w:t>
      </w:r>
      <w:proofErr w:type="spellStart"/>
      <w:r w:rsidR="00CC2554">
        <w:rPr>
          <w:rFonts w:ascii="Times New Roman" w:hAnsi="Times New Roman"/>
          <w:sz w:val="28"/>
          <w:szCs w:val="28"/>
        </w:rPr>
        <w:t>сф</w:t>
      </w:r>
      <w:r w:rsidR="005C37D5">
        <w:rPr>
          <w:rFonts w:ascii="Times New Roman" w:hAnsi="Times New Roman"/>
          <w:sz w:val="28"/>
          <w:szCs w:val="28"/>
        </w:rPr>
        <w:t>ормированности</w:t>
      </w:r>
      <w:proofErr w:type="spellEnd"/>
      <w:r w:rsidR="005C37D5">
        <w:rPr>
          <w:rFonts w:ascii="Times New Roman" w:hAnsi="Times New Roman"/>
          <w:sz w:val="28"/>
          <w:szCs w:val="28"/>
        </w:rPr>
        <w:t xml:space="preserve"> моторных навыков и</w:t>
      </w:r>
      <w:r w:rsidR="00CC2554">
        <w:rPr>
          <w:rFonts w:ascii="Times New Roman" w:hAnsi="Times New Roman"/>
          <w:sz w:val="28"/>
          <w:szCs w:val="28"/>
        </w:rPr>
        <w:t xml:space="preserve"> зрительн</w:t>
      </w:r>
      <w:r w:rsidR="005C37D5">
        <w:rPr>
          <w:rFonts w:ascii="Times New Roman" w:hAnsi="Times New Roman"/>
          <w:sz w:val="28"/>
          <w:szCs w:val="28"/>
        </w:rPr>
        <w:t>о-пространственных представлений.</w:t>
      </w:r>
    </w:p>
    <w:p w:rsidR="005C37D5" w:rsidRDefault="005C37D5" w:rsidP="005C37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37D5" w:rsidRPr="00267593" w:rsidRDefault="005C37D5" w:rsidP="005C37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Учитель-логопед: Шейнис Е.Б.</w:t>
      </w:r>
    </w:p>
    <w:sectPr w:rsidR="005C37D5" w:rsidRPr="0026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6E4"/>
    <w:multiLevelType w:val="hybridMultilevel"/>
    <w:tmpl w:val="28E2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02961"/>
    <w:multiLevelType w:val="hybridMultilevel"/>
    <w:tmpl w:val="45AC618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8B11EF6"/>
    <w:multiLevelType w:val="hybridMultilevel"/>
    <w:tmpl w:val="DBC256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6A"/>
    <w:rsid w:val="00077021"/>
    <w:rsid w:val="00267593"/>
    <w:rsid w:val="00430F09"/>
    <w:rsid w:val="00476EC6"/>
    <w:rsid w:val="004C12E4"/>
    <w:rsid w:val="005C37D5"/>
    <w:rsid w:val="0061036D"/>
    <w:rsid w:val="0067636A"/>
    <w:rsid w:val="00985EF3"/>
    <w:rsid w:val="00A2693C"/>
    <w:rsid w:val="00C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3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3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BF09-3345-45C8-9626-4208ACA8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2015-01-23T16:31:00Z</dcterms:created>
  <dcterms:modified xsi:type="dcterms:W3CDTF">2015-01-23T17:52:00Z</dcterms:modified>
</cp:coreProperties>
</file>