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EF" w:rsidRDefault="002A57EF" w:rsidP="002A57EF">
      <w:pPr>
        <w:jc w:val="center"/>
        <w:rPr>
          <w:b/>
          <w:sz w:val="28"/>
          <w:szCs w:val="28"/>
        </w:rPr>
      </w:pPr>
      <w:r w:rsidRPr="00E41A71">
        <w:rPr>
          <w:b/>
          <w:sz w:val="28"/>
          <w:szCs w:val="28"/>
        </w:rPr>
        <w:t>Обработка результатов:</w:t>
      </w:r>
    </w:p>
    <w:p w:rsidR="002A57EF" w:rsidRPr="00E41A71" w:rsidRDefault="002A57EF" w:rsidP="002A57EF">
      <w:pPr>
        <w:jc w:val="center"/>
        <w:rPr>
          <w:b/>
          <w:sz w:val="28"/>
          <w:szCs w:val="28"/>
        </w:rPr>
      </w:pPr>
    </w:p>
    <w:p w:rsidR="002A57EF" w:rsidRDefault="002A57EF" w:rsidP="002A57EF">
      <w:pPr>
        <w:rPr>
          <w:b/>
          <w:sz w:val="28"/>
          <w:szCs w:val="28"/>
        </w:rPr>
      </w:pPr>
      <w:proofErr w:type="gramStart"/>
      <w:r w:rsidRPr="00E41A71">
        <w:rPr>
          <w:b/>
          <w:sz w:val="28"/>
          <w:szCs w:val="28"/>
          <w:lang w:val="en-US"/>
        </w:rPr>
        <w:t>I</w:t>
      </w:r>
      <w:r w:rsidRPr="00E41A71">
        <w:rPr>
          <w:b/>
          <w:sz w:val="28"/>
          <w:szCs w:val="28"/>
        </w:rPr>
        <w:t xml:space="preserve"> серия.</w:t>
      </w:r>
      <w:proofErr w:type="gramEnd"/>
      <w:r w:rsidRPr="00E41A7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ИССЛЕДОВАНИЕ СЕНСОМОТОРНОГО УРОВНЯ РЕЧИ</w:t>
      </w:r>
    </w:p>
    <w:p w:rsidR="002A57EF" w:rsidRDefault="002A57EF" w:rsidP="002A57EF">
      <w:pPr>
        <w:rPr>
          <w:b/>
          <w:sz w:val="28"/>
          <w:szCs w:val="28"/>
        </w:rPr>
      </w:pPr>
    </w:p>
    <w:p w:rsidR="002A57EF" w:rsidRDefault="002A57EF" w:rsidP="002A57EF">
      <w:pPr>
        <w:rPr>
          <w:b/>
          <w:bCs/>
        </w:rPr>
      </w:pPr>
      <w:r>
        <w:rPr>
          <w:b/>
          <w:bCs/>
        </w:rPr>
        <w:t>ПРОВЕРКА СОСТОЯНИЯ ФОНЕМАТИЧЕСКОГО ВОСПРИЯТИЯ.</w:t>
      </w:r>
    </w:p>
    <w:p w:rsidR="002A57EF" w:rsidRDefault="002A57EF" w:rsidP="002A57EF">
      <w:pPr>
        <w:rPr>
          <w:b/>
          <w:bCs/>
        </w:rPr>
      </w:pPr>
    </w:p>
    <w:p w:rsidR="002A57EF" w:rsidRDefault="002A57EF" w:rsidP="002A57EF">
      <w:pPr>
        <w:rPr>
          <w:b/>
          <w:bCs/>
        </w:rPr>
      </w:pPr>
      <w:r>
        <w:t>Вначале предъявляется первый член пары (БА – ПА), затем второй (ПА – БА). Оценивается воспроизведение пробы в целом (БА - ПА – ПА - БА). Слоги предъявляются до первого воспроизведения: точного повторения добиваться не следует, т.к. задачей обследования является измерение актуального уровня развития речи.</w:t>
      </w:r>
    </w:p>
    <w:p w:rsidR="002A57EF" w:rsidRDefault="002A57EF" w:rsidP="002A57EF">
      <w:pPr>
        <w:rPr>
          <w:b/>
          <w:bCs/>
          <w:i/>
          <w:iCs/>
        </w:rPr>
      </w:pPr>
      <w:r>
        <w:rPr>
          <w:b/>
          <w:bCs/>
          <w:i/>
          <w:iCs/>
        </w:rPr>
        <w:t>Оценка:</w:t>
      </w:r>
    </w:p>
    <w:p w:rsidR="002A57EF" w:rsidRPr="00E41A71" w:rsidRDefault="002A57EF" w:rsidP="002A57EF">
      <w:pPr>
        <w:rPr>
          <w:b/>
          <w:sz w:val="28"/>
          <w:szCs w:val="28"/>
        </w:rPr>
      </w:pPr>
    </w:p>
    <w:p w:rsidR="002A57EF" w:rsidRDefault="002A57EF" w:rsidP="002A57EF">
      <w:r>
        <w:t>1 балл – точное и правильное воспроизведение в темпе предъявления;</w:t>
      </w:r>
      <w:r>
        <w:br/>
      </w:r>
      <w:r>
        <w:br/>
        <w:t>0,5 балла – первый член воспроизведен правильно, второй уподобляется первому (БА – ПА – БА - ПА);</w:t>
      </w:r>
      <w:r>
        <w:br/>
      </w:r>
      <w:r>
        <w:br/>
        <w:t>0,25 балла – неточное воспроизведение обоих членов пары с перестановкой слогов, их заменой и пропусками;</w:t>
      </w:r>
      <w:r>
        <w:br/>
      </w:r>
      <w:r>
        <w:br/>
        <w:t>0 баллов – отказ от выполнения, полная невозможность воспроизведения пробы.</w:t>
      </w:r>
    </w:p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ИССЛЕДОВАНИЕ АРТИКУЛЯЦИОННОЙ МОТОРИКИ</w:t>
      </w:r>
    </w:p>
    <w:p w:rsidR="002A57EF" w:rsidRDefault="002A57EF" w:rsidP="002A57EF">
      <w:r>
        <w:t>Для того</w:t>
      </w:r>
      <w:proofErr w:type="gramStart"/>
      <w:r>
        <w:t>,</w:t>
      </w:r>
      <w:proofErr w:type="gramEnd"/>
      <w:r>
        <w:t xml:space="preserve"> чтобы оценить выполнение артикуляционных движений, нужно попросить ребенка удерживать органы речи в нужном положении 3-5 секунд; последние три упражнения необходимо выполнить по 4-5 раз. </w:t>
      </w:r>
      <w:proofErr w:type="gramStart"/>
      <w:r>
        <w:t xml:space="preserve">Во время выполнения ребенком артикуляционных упражнений следует обращать внимание на их объем, темп выполнения, точность конфигурации, симметричность, наличие </w:t>
      </w:r>
      <w:proofErr w:type="spellStart"/>
      <w:r>
        <w:t>синкинезий</w:t>
      </w:r>
      <w:proofErr w:type="spellEnd"/>
      <w:r>
        <w:t xml:space="preserve">, т.е. сопутствующих непроизвольных движений (например, при выполнении упражнения «маятник» нередко наблюдаются сопутствующие движения подбородка, реже – головы или глазных яблок вслед за языком, </w:t>
      </w:r>
      <w:proofErr w:type="spellStart"/>
      <w:r>
        <w:t>синкинезии</w:t>
      </w:r>
      <w:proofErr w:type="spellEnd"/>
      <w:r>
        <w:t xml:space="preserve"> могут отмечаться и со стороны моторики рук), гиперкинезов, т.е. насильственных движений в мышцах речевого аппарата, усиленного</w:t>
      </w:r>
      <w:proofErr w:type="gramEnd"/>
      <w:r>
        <w:t xml:space="preserve"> слюноотделения, тремора органов речи, т.е. дрожания языка или губ, а также посинения артикуляционных органов или носогубного треугольника.</w:t>
      </w:r>
    </w:p>
    <w:p w:rsidR="002A57EF" w:rsidRDefault="002A57EF" w:rsidP="002A57EF"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 xml:space="preserve">1 балл – правильное выполнение с точным соответствием всех характеристик движения </w:t>
      </w:r>
      <w:proofErr w:type="gramStart"/>
      <w:r>
        <w:t>предъявленному</w:t>
      </w:r>
      <w:proofErr w:type="gramEnd"/>
      <w:r>
        <w:t>;</w:t>
      </w:r>
      <w:r>
        <w:br/>
      </w:r>
      <w:r>
        <w:br/>
        <w:t>0,5 балла – замедленное и напряженное выполнение;</w:t>
      </w:r>
      <w:r>
        <w:br/>
      </w:r>
      <w:r>
        <w:br/>
        <w:t xml:space="preserve">0,25 балла – выполнения с ошибками: длительный поиск позы, неполный объем движения, отклонения в конфигурации, </w:t>
      </w:r>
      <w:proofErr w:type="spellStart"/>
      <w:r>
        <w:t>синкинезии</w:t>
      </w:r>
      <w:proofErr w:type="spellEnd"/>
      <w:r>
        <w:t xml:space="preserve">, гиперкинезы; </w:t>
      </w:r>
      <w:r>
        <w:br/>
      </w:r>
      <w:r>
        <w:br/>
        <w:t>0 баллов – невыполнение движения.</w:t>
      </w:r>
    </w:p>
    <w:p w:rsidR="002A57EF" w:rsidRDefault="002A57EF" w:rsidP="002A57EF"/>
    <w:p w:rsidR="002A57EF" w:rsidRDefault="002A57EF" w:rsidP="002A57EF">
      <w:r>
        <w:rPr>
          <w:rStyle w:val="submenu-table"/>
          <w:b/>
          <w:bCs/>
        </w:rPr>
        <w:t>ИССЛЕДОВАНИЕ ЗВУКОПРОИЗНОШЕНИЯ</w:t>
      </w:r>
    </w:p>
    <w:p w:rsidR="002A57EF" w:rsidRDefault="002A57EF" w:rsidP="002A57EF">
      <w:pPr>
        <w:spacing w:after="240"/>
      </w:pPr>
      <w:r>
        <w:t>При необходимости можно уточнить произношение других согласных звуков (</w:t>
      </w:r>
      <w:r>
        <w:rPr>
          <w:i/>
          <w:iCs/>
        </w:rPr>
        <w:t xml:space="preserve">Б,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, Д, Т, Г, К, Х</w:t>
      </w:r>
      <w:r>
        <w:t xml:space="preserve">) и </w:t>
      </w:r>
      <w:r>
        <w:rPr>
          <w:i/>
          <w:iCs/>
        </w:rPr>
        <w:t>Й</w:t>
      </w:r>
      <w:r>
        <w:t>. В целях экономии времени фразы и тексты с проверяемыми звуками на этом этапе не предъявляются, т.к. возможность уточнить произношение звука в разных позициях и при разной степени самостоятельности речи представляется в ходе дальнейшего обследования.</w:t>
      </w:r>
    </w:p>
    <w:tbl>
      <w:tblPr>
        <w:tblW w:w="55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6"/>
        <w:gridCol w:w="4314"/>
        <w:gridCol w:w="805"/>
      </w:tblGrid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rStyle w:val="butback"/>
                <w:b/>
                <w:bCs/>
              </w:rPr>
              <w:t>^</w:t>
            </w:r>
            <w:r>
              <w:rPr>
                <w:b/>
                <w:bCs/>
              </w:rPr>
              <w:t xml:space="preserve"> </w:t>
            </w:r>
            <w:r>
              <w:rPr>
                <w:rStyle w:val="submenu-table"/>
                <w:b/>
                <w:bCs/>
              </w:rPr>
              <w:t>Группа звуков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балл</w:t>
            </w:r>
          </w:p>
        </w:tc>
      </w:tr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1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  <w:t xml:space="preserve">свистящие </w:t>
            </w:r>
            <w:r>
              <w:rPr>
                <w:b/>
                <w:bCs/>
              </w:rPr>
              <w:t xml:space="preserve">С </w:t>
            </w:r>
            <w:proofErr w:type="spellStart"/>
            <w:r>
              <w:rPr>
                <w:b/>
                <w:bCs/>
              </w:rPr>
              <w:t>Сь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Зь</w:t>
            </w:r>
            <w:proofErr w:type="spellEnd"/>
            <w:r>
              <w:rPr>
                <w:b/>
                <w:bCs/>
              </w:rPr>
              <w:t xml:space="preserve"> 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</w:tr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lastRenderedPageBreak/>
              <w:br/>
            </w:r>
            <w:r>
              <w:rPr>
                <w:b/>
                <w:bCs/>
              </w:rPr>
              <w:t>2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  <w:t xml:space="preserve">шипящие </w:t>
            </w:r>
            <w:proofErr w:type="gramStart"/>
            <w:r>
              <w:rPr>
                <w:b/>
                <w:bCs/>
              </w:rPr>
              <w:t>Ш</w:t>
            </w:r>
            <w:proofErr w:type="gramEnd"/>
            <w:r>
              <w:rPr>
                <w:b/>
                <w:bCs/>
              </w:rPr>
              <w:t xml:space="preserve"> Ж Ч Щ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</w:tr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3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Л</w:t>
            </w:r>
            <w:proofErr w:type="gramStart"/>
            <w:r>
              <w:rPr>
                <w:b/>
                <w:bCs/>
              </w:rPr>
              <w:t xml:space="preserve"> Л</w:t>
            </w:r>
            <w:proofErr w:type="gramEnd"/>
            <w:r>
              <w:rPr>
                <w:b/>
                <w:bCs/>
              </w:rPr>
              <w:t>ь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</w:tr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4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Рь</w:t>
            </w:r>
            <w:proofErr w:type="spellEnd"/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</w:tr>
      <w:tr w:rsidR="002A57EF" w:rsidTr="006D0E8D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</w:r>
            <w:r>
              <w:rPr>
                <w:b/>
                <w:bCs/>
              </w:rPr>
              <w:t>5</w:t>
            </w:r>
          </w:p>
        </w:tc>
        <w:tc>
          <w:tcPr>
            <w:tcW w:w="4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r>
              <w:br/>
              <w:t>остальные звуки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7EF" w:rsidRDefault="002A57EF" w:rsidP="006D0E8D">
            <w:pPr>
              <w:spacing w:after="240"/>
            </w:pPr>
            <w:r>
              <w:br/>
            </w:r>
          </w:p>
        </w:tc>
      </w:tr>
    </w:tbl>
    <w:p w:rsidR="002A57EF" w:rsidRDefault="002A57EF" w:rsidP="002A57EF">
      <w:r>
        <w:br/>
      </w:r>
      <w:r>
        <w:br/>
      </w:r>
      <w:r>
        <w:rPr>
          <w:b/>
          <w:bCs/>
          <w:i/>
          <w:iCs/>
        </w:rPr>
        <w:t>Оценка:</w:t>
      </w:r>
      <w:r>
        <w:t xml:space="preserve"> предлагается условно разделить все звуки на пять групп: первые четыре – это наиболее часто подвергающиеся нарушению гласные (1 группа – свистящие </w:t>
      </w:r>
      <w:r>
        <w:rPr>
          <w:i/>
          <w:iCs/>
        </w:rPr>
        <w:t xml:space="preserve">С, </w:t>
      </w:r>
      <w:proofErr w:type="spellStart"/>
      <w:r>
        <w:rPr>
          <w:i/>
          <w:iCs/>
        </w:rPr>
        <w:t>Сь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З</w:t>
      </w:r>
      <w:proofErr w:type="gramEnd"/>
      <w:r>
        <w:rPr>
          <w:i/>
          <w:iCs/>
        </w:rPr>
        <w:t>, ЗЬ, Ц</w:t>
      </w:r>
      <w:r>
        <w:t xml:space="preserve">; 2 – шипящие </w:t>
      </w:r>
      <w:r>
        <w:rPr>
          <w:i/>
          <w:iCs/>
        </w:rPr>
        <w:t>Ш, Ж, Ч, Щ</w:t>
      </w:r>
      <w:r>
        <w:t xml:space="preserve"> ;3 – </w:t>
      </w:r>
      <w:r>
        <w:rPr>
          <w:i/>
          <w:iCs/>
        </w:rPr>
        <w:t>Л, Ль</w:t>
      </w:r>
      <w:r>
        <w:t xml:space="preserve">; 4 –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Рь</w:t>
      </w:r>
      <w:proofErr w:type="spellEnd"/>
      <w:r>
        <w:t>;) и пятая группа – остальные звуки, дефектное произношение которых встречается значительно реже: задненебные звуки Г, К, Х и их мягкие варианты, звук Й, случаи дефектов озвончения, смягчения редкие нарушения произношения гласных звуков).</w:t>
      </w:r>
      <w:r>
        <w:br/>
      </w:r>
      <w:proofErr w:type="gramStart"/>
      <w:r>
        <w:t>Произношение звуков каждой группы оценивается в отдельности по следующему принципу:</w:t>
      </w:r>
      <w:r>
        <w:br/>
      </w:r>
      <w:r>
        <w:br/>
        <w:t>3 балла – безукоризненное произношение всех звуков группы в любых ситуациях;</w:t>
      </w:r>
      <w:r>
        <w:br/>
      </w:r>
      <w:r>
        <w:br/>
        <w:t>1,5 балла – один или несколько звуков группы правильно произносятся изолированно и отраженно, но иногда подвергаются заменам или искажениям в самостоятельной речи, т.е. недостаточно автоматизированы;</w:t>
      </w:r>
      <w:r>
        <w:br/>
      </w:r>
      <w:r>
        <w:br/>
        <w:t>1 балл – в любой позиции искажается или заменяется только один звук;</w:t>
      </w:r>
      <w:proofErr w:type="gramEnd"/>
      <w:r>
        <w:br/>
      </w:r>
      <w:r>
        <w:br/>
        <w:t>0 баллов – искажениям или заменам во всех речевых ситуациях подвергаются все или несколько звуков группы.</w:t>
      </w:r>
      <w:r>
        <w:br/>
      </w:r>
      <w:r>
        <w:br/>
        <w:t>Баллы, начисленные за каждую из пяти групп, суммируются.</w:t>
      </w:r>
    </w:p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ИССЛЕДОВАНИЕ СФОРМИРОВАННОСТИ ЗВУКО-СЛОГОВОЙ СТРУКТУРЫ СЛОВА</w:t>
      </w:r>
    </w:p>
    <w:p w:rsidR="002A57EF" w:rsidRDefault="002A57EF" w:rsidP="002A57EF">
      <w:pPr>
        <w:rPr>
          <w:b/>
          <w:bCs/>
          <w:i/>
          <w:iCs/>
        </w:rPr>
      </w:pPr>
    </w:p>
    <w:p w:rsidR="002A57EF" w:rsidRDefault="002A57EF" w:rsidP="002A57EF">
      <w:pPr>
        <w:rPr>
          <w:b/>
          <w:bCs/>
          <w:i/>
          <w:iCs/>
        </w:rPr>
      </w:pPr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>1 балл – точное и правильное воспроизведение в темпе предъявления;</w:t>
      </w:r>
      <w:r>
        <w:br/>
      </w:r>
      <w:r>
        <w:br/>
        <w:t xml:space="preserve">0,5 балла – замедленное </w:t>
      </w:r>
      <w:proofErr w:type="spellStart"/>
      <w:r>
        <w:t>послоговое</w:t>
      </w:r>
      <w:proofErr w:type="spellEnd"/>
      <w:r>
        <w:t xml:space="preserve"> воспроизведение;</w:t>
      </w:r>
      <w:r>
        <w:br/>
      </w:r>
      <w:r>
        <w:br/>
        <w:t xml:space="preserve">0,25 балла – искажение </w:t>
      </w:r>
      <w:proofErr w:type="spellStart"/>
      <w:r>
        <w:t>звуко-слоговой</w:t>
      </w:r>
      <w:proofErr w:type="spellEnd"/>
      <w:r>
        <w:t xml:space="preserve"> структуры слова (пропуски и перестановки звуков и слогов внутри слова); </w:t>
      </w:r>
      <w:r>
        <w:br/>
      </w:r>
      <w:r>
        <w:br/>
        <w:t>0 баллов – невозможность воспроизведения.</w:t>
      </w:r>
      <w:r>
        <w:br/>
      </w:r>
      <w:r>
        <w:br/>
      </w:r>
      <w:r>
        <w:rPr>
          <w:b/>
          <w:bCs/>
          <w:i/>
          <w:iCs/>
        </w:rPr>
        <w:t>Максимальная оценка за серию №1 равна 30 баллам.</w:t>
      </w:r>
    </w:p>
    <w:p w:rsidR="002A57EF" w:rsidRDefault="002A57EF" w:rsidP="002A57EF"/>
    <w:p w:rsidR="002A57EF" w:rsidRDefault="002A57EF" w:rsidP="002A57EF"/>
    <w:p w:rsidR="002A57EF" w:rsidRDefault="002A57EF" w:rsidP="002A57EF"/>
    <w:p w:rsidR="002A57EF" w:rsidRDefault="002A57EF" w:rsidP="002A57EF"/>
    <w:p w:rsidR="002A57EF" w:rsidRDefault="002A57EF" w:rsidP="002A57EF"/>
    <w:p w:rsidR="002A57EF" w:rsidRDefault="002A57EF" w:rsidP="002A57EF"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E41A71">
        <w:rPr>
          <w:b/>
          <w:sz w:val="28"/>
          <w:szCs w:val="28"/>
          <w:lang w:val="en-US"/>
        </w:rPr>
        <w:t>I</w:t>
      </w:r>
      <w:r w:rsidRPr="00E41A71">
        <w:rPr>
          <w:b/>
          <w:sz w:val="28"/>
          <w:szCs w:val="28"/>
        </w:rPr>
        <w:t xml:space="preserve"> серия.</w:t>
      </w:r>
      <w:proofErr w:type="gramEnd"/>
      <w:r w:rsidRPr="00E41A7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rStyle w:val="submenu-table"/>
          <w:b/>
          <w:bCs/>
          <w:u w:val="single"/>
        </w:rPr>
        <w:t>ИССЛЕДОВАНИЕ ГРАММАТИЧЕСКОГО СТРОЯ РЕЧИ</w:t>
      </w:r>
    </w:p>
    <w:p w:rsidR="002A57EF" w:rsidRDefault="002A57EF" w:rsidP="002A57EF"/>
    <w:p w:rsidR="002A57EF" w:rsidRDefault="002A57EF" w:rsidP="002A57EF">
      <w:pPr>
        <w:rPr>
          <w:b/>
          <w:bCs/>
        </w:rPr>
      </w:pPr>
      <w:r>
        <w:rPr>
          <w:b/>
          <w:bCs/>
        </w:rPr>
        <w:t>ПОВТОРЕНИЕ ПРЕДЛОЖЕНИЙ.</w:t>
      </w:r>
    </w:p>
    <w:p w:rsidR="002A57EF" w:rsidRDefault="002A57EF" w:rsidP="002A57EF"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>1 балл – точное и правильное воспроизведение;</w:t>
      </w:r>
      <w:r>
        <w:br/>
      </w:r>
      <w:r>
        <w:br/>
        <w:t>0,5 балла – пропуск отдельных слов без искажения смысла и структуры предложения;</w:t>
      </w:r>
      <w:r>
        <w:br/>
      </w:r>
      <w:r>
        <w:br/>
        <w:t xml:space="preserve">0,25 балла – пропуск частей предложения, искажение смысла и структуры предложения, замена на прямую речь, предложение не закончено; </w:t>
      </w:r>
      <w:r>
        <w:br/>
      </w:r>
      <w:r>
        <w:br/>
        <w:t xml:space="preserve">0 баллов – </w:t>
      </w:r>
      <w:proofErr w:type="spellStart"/>
      <w:r>
        <w:t>невоспроизведение</w:t>
      </w:r>
      <w:proofErr w:type="spellEnd"/>
      <w:r>
        <w:t>.</w:t>
      </w:r>
    </w:p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ВЕРИФИКАЦИЯ ПРЕДЛОЖЕНИЙ</w:t>
      </w:r>
    </w:p>
    <w:p w:rsidR="002A57EF" w:rsidRDefault="002A57EF" w:rsidP="002A57EF">
      <w:pPr>
        <w:rPr>
          <w:rStyle w:val="submenu-table"/>
          <w:b/>
          <w:bCs/>
        </w:rPr>
      </w:pPr>
    </w:p>
    <w:p w:rsidR="002A57EF" w:rsidRDefault="002A57EF" w:rsidP="002A57EF">
      <w:proofErr w:type="gramStart"/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>1 балл – выявление и исправление ошибки;</w:t>
      </w:r>
      <w:r>
        <w:br/>
      </w:r>
      <w:r>
        <w:br/>
        <w:t>0,5 балла – выявление ошибок и исправление их с незначительными неточностями (пропуск, перестановка, замена слов, нарушение порядка слов);</w:t>
      </w:r>
      <w:r>
        <w:br/>
      </w:r>
      <w:r>
        <w:br/>
        <w:t xml:space="preserve">0,25 балла – ошибка выявлена, но не исправлена, или предпринята </w:t>
      </w:r>
      <w:proofErr w:type="spellStart"/>
      <w:r>
        <w:t>аграмматичная</w:t>
      </w:r>
      <w:proofErr w:type="spellEnd"/>
      <w:r>
        <w:t xml:space="preserve"> попытка исправления ошибки; </w:t>
      </w:r>
      <w:r>
        <w:br/>
      </w:r>
      <w:r>
        <w:br/>
        <w:t>0 баллов – ошибка не выявлена.</w:t>
      </w:r>
      <w:proofErr w:type="gramEnd"/>
    </w:p>
    <w:p w:rsidR="002A57EF" w:rsidRDefault="002A57EF" w:rsidP="002A57EF"/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СОСТАВЛЕНИЕ ПРЕДЛОЖЕНИЙ ИЗ СЛОВ, ПРЕДЪЯВЛЕННЫХ В НАЧАЛЬНОЙ ФОРМЕ</w:t>
      </w:r>
    </w:p>
    <w:p w:rsidR="002A57EF" w:rsidRDefault="002A57EF" w:rsidP="002A57EF"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 xml:space="preserve">1 балл – предложение </w:t>
      </w:r>
      <w:proofErr w:type="gramStart"/>
      <w:r>
        <w:t>составлено</w:t>
      </w:r>
      <w:proofErr w:type="gramEnd"/>
      <w:r>
        <w:t xml:space="preserve"> верно;</w:t>
      </w:r>
      <w:r>
        <w:br/>
      </w:r>
      <w:r>
        <w:br/>
        <w:t>0,5 балла – нарушен порядок слов;</w:t>
      </w:r>
      <w:r>
        <w:br/>
      </w:r>
      <w:r>
        <w:br/>
        <w:t xml:space="preserve">0,25 балла – наблюдаются пропуски, привнесения или замены слов, </w:t>
      </w:r>
      <w:proofErr w:type="spellStart"/>
      <w:r>
        <w:t>аграмматизмы</w:t>
      </w:r>
      <w:proofErr w:type="spellEnd"/>
      <w:r>
        <w:t xml:space="preserve">, незначительные смысловые неточности; </w:t>
      </w:r>
      <w:r>
        <w:br/>
      </w:r>
      <w:r>
        <w:br/>
        <w:t>0 баллов – смысловая неадекватность или отказ от выполнения задания.</w:t>
      </w:r>
    </w:p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ДОБАВЛЕНИЕ ПРЕДЛОГОВ В ПРЕДЛОЖЕНИЕ</w:t>
      </w:r>
    </w:p>
    <w:p w:rsidR="002A57EF" w:rsidRDefault="002A57EF" w:rsidP="002A57EF">
      <w:pPr>
        <w:rPr>
          <w:rStyle w:val="submenu-table"/>
          <w:b/>
          <w:bCs/>
        </w:rPr>
      </w:pPr>
    </w:p>
    <w:p w:rsidR="002A57EF" w:rsidRDefault="002A57EF" w:rsidP="002A57EF">
      <w:r>
        <w:t xml:space="preserve">В связи с трудностью этого задания используются два вида помощи: 1-й – </w:t>
      </w:r>
      <w:proofErr w:type="gramStart"/>
      <w:r>
        <w:t>стимулирующая</w:t>
      </w:r>
      <w:proofErr w:type="gramEnd"/>
      <w:r>
        <w:t xml:space="preserve"> («</w:t>
      </w:r>
      <w:r>
        <w:rPr>
          <w:rStyle w:val="butback"/>
          <w:i/>
          <w:iCs/>
        </w:rPr>
        <w:t>^</w:t>
      </w:r>
      <w:r>
        <w:rPr>
          <w:i/>
          <w:iCs/>
        </w:rPr>
        <w:t xml:space="preserve"> </w:t>
      </w:r>
      <w:r>
        <w:rPr>
          <w:rStyle w:val="submenu-table"/>
          <w:i/>
          <w:iCs/>
        </w:rPr>
        <w:t>Неверно, подумай еще!</w:t>
      </w:r>
      <w:r>
        <w:t>»); 2-ой – в виде вопроса к пропущенному предлогу (</w:t>
      </w:r>
      <w:r>
        <w:rPr>
          <w:i/>
          <w:iCs/>
        </w:rPr>
        <w:t>Наливает чай куда?</w:t>
      </w:r>
      <w:r>
        <w:t>).</w:t>
      </w:r>
      <w:r>
        <w:br/>
      </w:r>
      <w:r>
        <w:br/>
      </w:r>
      <w:r>
        <w:rPr>
          <w:b/>
          <w:bCs/>
          <w:i/>
          <w:iCs/>
        </w:rPr>
        <w:t>Оценка:</w:t>
      </w:r>
      <w:r>
        <w:t xml:space="preserve"> </w:t>
      </w:r>
      <w:r>
        <w:br/>
      </w:r>
      <w:r>
        <w:br/>
        <w:t>1 балл – правильный ответ;</w:t>
      </w:r>
      <w:r>
        <w:br/>
      </w:r>
      <w:r>
        <w:br/>
        <w:t xml:space="preserve">0,5 балла – правильный ответ </w:t>
      </w:r>
      <w:r>
        <w:rPr>
          <w:i/>
          <w:iCs/>
          <w:u w:val="single"/>
        </w:rPr>
        <w:t>после стимулирующего вида помощи</w:t>
      </w:r>
      <w:r>
        <w:t>;</w:t>
      </w:r>
      <w:r>
        <w:br/>
      </w:r>
      <w:r>
        <w:br/>
        <w:t xml:space="preserve">0,25 балла – правильный ответ </w:t>
      </w:r>
      <w:r>
        <w:rPr>
          <w:i/>
          <w:iCs/>
          <w:u w:val="single"/>
        </w:rPr>
        <w:t>после помощи второго вида</w:t>
      </w:r>
      <w:r>
        <w:t xml:space="preserve">; </w:t>
      </w:r>
      <w:r>
        <w:br/>
      </w:r>
      <w:r>
        <w:br/>
        <w:t xml:space="preserve">0 баллов – неэффективное использование </w:t>
      </w:r>
      <w:proofErr w:type="gramStart"/>
      <w:r>
        <w:t>помощи</w:t>
      </w:r>
      <w:proofErr w:type="gramEnd"/>
      <w:r>
        <w:t xml:space="preserve"> как первого, так и второго вида.</w:t>
      </w:r>
    </w:p>
    <w:p w:rsidR="002A57EF" w:rsidRDefault="002A57EF" w:rsidP="002A57EF"/>
    <w:p w:rsidR="002A57EF" w:rsidRDefault="002A57EF" w:rsidP="002A57EF">
      <w:pPr>
        <w:rPr>
          <w:rStyle w:val="submenu-table"/>
          <w:b/>
          <w:bCs/>
        </w:rPr>
      </w:pPr>
      <w:r>
        <w:rPr>
          <w:rStyle w:val="submenu-table"/>
          <w:b/>
          <w:bCs/>
        </w:rPr>
        <w:t>ОБРАЗОВАНИЕ СУЩЕСТВИТЕЛЬНЫХ МНОЖЕСТВЕННОГО ЧИСЛА В ИМЕНИТЕЛЬНОМ И РОДИТЕЛЬНОМ ПАДЕЖАХ</w:t>
      </w:r>
    </w:p>
    <w:p w:rsidR="002A57EF" w:rsidRDefault="002A57EF" w:rsidP="002A57EF">
      <w:pPr>
        <w:rPr>
          <w:rStyle w:val="submenu-table"/>
          <w:b/>
          <w:bCs/>
        </w:rPr>
      </w:pPr>
    </w:p>
    <w:p w:rsidR="002A57EF" w:rsidRDefault="002A57EF" w:rsidP="002A57EF">
      <w:pPr>
        <w:rPr>
          <w:b/>
          <w:bCs/>
          <w:i/>
          <w:iCs/>
        </w:rPr>
      </w:pPr>
      <w:r>
        <w:rPr>
          <w:b/>
          <w:bCs/>
          <w:i/>
          <w:iCs/>
        </w:rPr>
        <w:t>Оценка</w:t>
      </w:r>
      <w:r>
        <w:t>:</w:t>
      </w:r>
      <w:r>
        <w:br/>
      </w:r>
      <w:r>
        <w:br/>
        <w:t>1 балл – правильный ответ;</w:t>
      </w:r>
      <w:r>
        <w:br/>
      </w:r>
      <w:r>
        <w:br/>
        <w:t xml:space="preserve">0,5 балла – правильный ответ </w:t>
      </w:r>
      <w:r>
        <w:rPr>
          <w:i/>
          <w:iCs/>
          <w:u w:val="single"/>
        </w:rPr>
        <w:t>после стимулирующей помощи</w:t>
      </w:r>
      <w:r>
        <w:rPr>
          <w:u w:val="single"/>
        </w:rPr>
        <w:t>;</w:t>
      </w:r>
      <w:r>
        <w:br/>
      </w:r>
      <w:r>
        <w:br/>
        <w:t>0,25 балла – неверно образованная форма;</w:t>
      </w:r>
      <w:r>
        <w:br/>
      </w:r>
      <w:r>
        <w:br/>
        <w:t>0 баллов – невыполнение.</w:t>
      </w:r>
      <w:r>
        <w:br/>
      </w:r>
      <w:r>
        <w:br/>
      </w:r>
      <w:r>
        <w:rPr>
          <w:b/>
          <w:bCs/>
          <w:i/>
          <w:iCs/>
        </w:rPr>
        <w:t>Максимальная оценка за серию №2 равна 30 баллам</w:t>
      </w:r>
    </w:p>
    <w:p w:rsidR="002A57EF" w:rsidRDefault="002A57EF" w:rsidP="002A57EF"/>
    <w:p w:rsidR="002A57EF" w:rsidRDefault="002A57EF" w:rsidP="002A57EF">
      <w:pPr>
        <w:rPr>
          <w:b/>
          <w:bCs/>
          <w:i/>
          <w:iCs/>
        </w:rPr>
      </w:pPr>
    </w:p>
    <w:p w:rsidR="002A57EF" w:rsidRDefault="002A57EF" w:rsidP="002A57EF">
      <w:proofErr w:type="gramStart"/>
      <w:r>
        <w:rPr>
          <w:b/>
          <w:sz w:val="28"/>
          <w:szCs w:val="28"/>
          <w:lang w:val="en-US"/>
        </w:rPr>
        <w:t>II</w:t>
      </w:r>
      <w:r w:rsidRPr="00E41A71">
        <w:rPr>
          <w:b/>
          <w:sz w:val="28"/>
          <w:szCs w:val="28"/>
          <w:lang w:val="en-US"/>
        </w:rPr>
        <w:t>I</w:t>
      </w:r>
      <w:r w:rsidRPr="00E41A71">
        <w:rPr>
          <w:b/>
          <w:sz w:val="28"/>
          <w:szCs w:val="28"/>
        </w:rPr>
        <w:t xml:space="preserve"> серия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bCs/>
          <w:u w:val="single"/>
        </w:rPr>
        <w:t>ИССЛЕДОВАНИЕ НАВЫКОВ СЛОВООБРАЗОВАНИЯ</w:t>
      </w:r>
    </w:p>
    <w:p w:rsidR="002A57EF" w:rsidRPr="00DC363D" w:rsidRDefault="002A57EF" w:rsidP="002A57EF"/>
    <w:p w:rsidR="002A57EF" w:rsidRDefault="002A57EF" w:rsidP="002A57EF"/>
    <w:p w:rsidR="002A57EF" w:rsidRDefault="002A57EF" w:rsidP="002A57E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Оценка </w:t>
      </w:r>
      <w:r>
        <w:t>для всех заданий серии производится по общим критериям:</w:t>
      </w:r>
      <w:r>
        <w:br/>
      </w:r>
      <w:r>
        <w:br/>
        <w:t>1 балл – правильный ответ;</w:t>
      </w:r>
      <w:r>
        <w:br/>
      </w:r>
      <w:r>
        <w:br/>
        <w:t xml:space="preserve">0,5 балла – </w:t>
      </w:r>
      <w:proofErr w:type="spellStart"/>
      <w:r>
        <w:t>самокоррекция</w:t>
      </w:r>
      <w:proofErr w:type="spellEnd"/>
      <w:r>
        <w:t xml:space="preserve"> или правильный ответ </w:t>
      </w:r>
      <w:r>
        <w:rPr>
          <w:i/>
          <w:iCs/>
        </w:rPr>
        <w:t>после стимулирующей помощи</w:t>
      </w:r>
      <w:r>
        <w:t>;</w:t>
      </w:r>
      <w:r>
        <w:br/>
      </w:r>
      <w:r>
        <w:br/>
        <w:t>0,25 балла – неверно образованная форма;</w:t>
      </w:r>
      <w:r>
        <w:br/>
      </w:r>
      <w:r>
        <w:br/>
        <w:t>0 баллов – невыполнение.</w:t>
      </w:r>
      <w:r>
        <w:br/>
      </w:r>
      <w:r>
        <w:br/>
      </w:r>
      <w:r>
        <w:rPr>
          <w:b/>
          <w:bCs/>
          <w:i/>
          <w:iCs/>
        </w:rPr>
        <w:t>Максимальная оценка за серию №3 равна 30 баллам</w:t>
      </w:r>
    </w:p>
    <w:p w:rsidR="002A57EF" w:rsidRDefault="002A57EF" w:rsidP="002A57EF"/>
    <w:p w:rsidR="002A57EF" w:rsidRDefault="002A57EF" w:rsidP="002A57EF">
      <w:pPr>
        <w:rPr>
          <w:b/>
          <w:bCs/>
          <w:u w:val="single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E41A71">
        <w:rPr>
          <w:b/>
          <w:sz w:val="28"/>
          <w:szCs w:val="28"/>
        </w:rPr>
        <w:t xml:space="preserve"> серия</w:t>
      </w:r>
      <w:r>
        <w:rPr>
          <w:b/>
          <w:sz w:val="28"/>
          <w:szCs w:val="28"/>
        </w:rPr>
        <w:t>.</w:t>
      </w:r>
      <w:proofErr w:type="gramEnd"/>
      <w:r w:rsidRPr="00DC363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ИССЛЕДОВАНИЕ СВЯЗНОЙ РЕЧИ</w:t>
      </w:r>
    </w:p>
    <w:p w:rsidR="002A57EF" w:rsidRDefault="002A57EF" w:rsidP="002A57EF">
      <w:pPr>
        <w:rPr>
          <w:b/>
          <w:bCs/>
          <w:u w:val="single"/>
        </w:rPr>
      </w:pPr>
    </w:p>
    <w:p w:rsidR="002A57EF" w:rsidRDefault="002A57EF" w:rsidP="002A57EF">
      <w:pPr>
        <w:rPr>
          <w:b/>
          <w:bCs/>
        </w:rPr>
      </w:pPr>
      <w:r>
        <w:rPr>
          <w:b/>
          <w:bCs/>
        </w:rPr>
        <w:t>СОСТАВЛЕНИЕ РАССКАЗА ПО СЕРИИ СЮЖЕТНЫХ КАРТИНОК ИЗ 4 – 5 КАРТИНОК</w:t>
      </w:r>
    </w:p>
    <w:p w:rsidR="002A57EF" w:rsidRDefault="002A57EF" w:rsidP="002A57EF">
      <w:pPr>
        <w:spacing w:after="240"/>
      </w:pPr>
      <w:r>
        <w:rPr>
          <w:b/>
          <w:bCs/>
          <w:i/>
          <w:iCs/>
        </w:rPr>
        <w:t xml:space="preserve">Оценка </w:t>
      </w:r>
      <w:r>
        <w:t>производится по трем критериям.</w:t>
      </w:r>
      <w:r>
        <w:br/>
      </w:r>
      <w:r>
        <w:br/>
      </w:r>
      <w:r>
        <w:rPr>
          <w:b/>
          <w:bCs/>
          <w:i/>
          <w:iCs/>
        </w:rPr>
        <w:t>а) критерий смысловой целостности:</w:t>
      </w:r>
      <w:r>
        <w:br/>
      </w:r>
      <w:r>
        <w:br/>
        <w:t>5 баллов – рассказ соответствует ситуации, имеет все смысловые звенья, расположенные в правильной последовательности;</w:t>
      </w:r>
      <w:r>
        <w:br/>
      </w:r>
      <w:r>
        <w:br/>
        <w:t>2,5 балла – допускается незначительное искажение ситуации, неправильное воспроизведение причинно-следственных связей, нет связующих звеньев;</w:t>
      </w:r>
      <w:r>
        <w:br/>
      </w:r>
      <w:r>
        <w:br/>
        <w:t>1 балл – выпадение смысловых звеньев, существенное искажение смысла, либо рассказ не завершен;</w:t>
      </w:r>
      <w:r>
        <w:br/>
      </w:r>
      <w:r>
        <w:br/>
        <w:t>0 баллов – отсутствует описание ситуации.</w:t>
      </w:r>
      <w:r>
        <w:br/>
      </w:r>
      <w:r>
        <w:br/>
      </w:r>
      <w:r>
        <w:rPr>
          <w:b/>
          <w:bCs/>
          <w:i/>
          <w:iCs/>
        </w:rPr>
        <w:t>б) критерий лексико-грамматического оформления высказывания:</w:t>
      </w:r>
      <w:r>
        <w:br/>
      </w:r>
      <w:r>
        <w:br/>
        <w:t xml:space="preserve">5 баллов – рассказ оформлен грамматически правильно с адекватным использованием лексических средств; </w:t>
      </w:r>
      <w:r>
        <w:br/>
      </w:r>
      <w:r>
        <w:br/>
        <w:t xml:space="preserve">2,5 балла – рассказ составлен без </w:t>
      </w:r>
      <w:proofErr w:type="spellStart"/>
      <w:r>
        <w:t>аграмматизмов</w:t>
      </w:r>
      <w:proofErr w:type="spellEnd"/>
      <w:r>
        <w:t>, но наблюдаются стереотипность оформления, единичные случаи поиска слов или неточное словоупотребление;</w:t>
      </w:r>
      <w:r>
        <w:br/>
      </w:r>
      <w:r>
        <w:br/>
        <w:t xml:space="preserve">1 балл – наблюдаются </w:t>
      </w:r>
      <w:proofErr w:type="spellStart"/>
      <w:r>
        <w:t>аграмматизмы</w:t>
      </w:r>
      <w:proofErr w:type="spellEnd"/>
      <w:r>
        <w:t>, стереотипность оформления, неадекватное использование лексических средств;</w:t>
      </w:r>
      <w:r>
        <w:br/>
      </w:r>
      <w:r>
        <w:br/>
        <w:t>0 баллов – рассказ не оформлен.</w:t>
      </w:r>
      <w:r>
        <w:br/>
      </w:r>
      <w:r>
        <w:lastRenderedPageBreak/>
        <w:br/>
      </w:r>
      <w:r>
        <w:rPr>
          <w:b/>
          <w:bCs/>
          <w:i/>
          <w:iCs/>
        </w:rPr>
        <w:t>в)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критерий самостоятельности выполнения задания:</w:t>
      </w:r>
      <w:r>
        <w:br/>
      </w:r>
      <w:r>
        <w:br/>
        <w:t>5 баллов – самостоятельно разложены картинки и составлен рассказ;</w:t>
      </w:r>
      <w:r>
        <w:br/>
      </w:r>
      <w:r>
        <w:br/>
        <w:t xml:space="preserve">2,5 балла – картинки разложены </w:t>
      </w:r>
      <w:r>
        <w:rPr>
          <w:i/>
          <w:iCs/>
        </w:rPr>
        <w:t>со стимулирующей помощью</w:t>
      </w:r>
      <w:r>
        <w:t>, рассказ составлен самостоятельно;</w:t>
      </w:r>
      <w:r>
        <w:br/>
      </w:r>
      <w:r>
        <w:br/>
        <w:t>1 балл – раскладывание картинок и составление рассказа</w:t>
      </w:r>
      <w:r>
        <w:rPr>
          <w:i/>
          <w:iCs/>
        </w:rPr>
        <w:t xml:space="preserve"> по наводящим вопросам</w:t>
      </w:r>
      <w:r>
        <w:t>;</w:t>
      </w:r>
      <w:r>
        <w:br/>
      </w:r>
      <w:r>
        <w:br/>
        <w:t>0 баллов – задание недоступно даже при наличии помощи.</w:t>
      </w:r>
    </w:p>
    <w:p w:rsidR="002A57EF" w:rsidRDefault="002A57EF" w:rsidP="002A57EF">
      <w:pPr>
        <w:spacing w:before="100" w:beforeAutospacing="1" w:after="100" w:afterAutospacing="1"/>
        <w:ind w:left="360"/>
        <w:rPr>
          <w:rStyle w:val="submenu-table"/>
          <w:b/>
          <w:bCs/>
        </w:rPr>
      </w:pPr>
      <w:r>
        <w:rPr>
          <w:b/>
          <w:bCs/>
        </w:rPr>
        <w:t xml:space="preserve"> </w:t>
      </w:r>
      <w:r>
        <w:rPr>
          <w:rStyle w:val="submenu-table"/>
          <w:b/>
          <w:bCs/>
        </w:rPr>
        <w:t>ПЕРЕСКАЗ ПРОСЛУШАННОГО ТЕКСТА</w:t>
      </w:r>
    </w:p>
    <w:p w:rsidR="002A57EF" w:rsidRDefault="002A57EF" w:rsidP="002A57EF">
      <w:pPr>
        <w:spacing w:before="100" w:beforeAutospacing="1" w:after="100" w:afterAutospacing="1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Оценка </w:t>
      </w:r>
      <w:r>
        <w:t>производится также по трем критериям.</w:t>
      </w:r>
      <w:r>
        <w:br/>
      </w:r>
      <w:r>
        <w:br/>
      </w:r>
      <w:r>
        <w:rPr>
          <w:b/>
          <w:bCs/>
          <w:i/>
          <w:iCs/>
        </w:rPr>
        <w:t>а) критерий смысловой целостности:</w:t>
      </w:r>
      <w:r>
        <w:br/>
      </w:r>
      <w:r>
        <w:br/>
        <w:t>5 баллов – воспроизведены все основные смысловые звенья;</w:t>
      </w:r>
      <w:r>
        <w:br/>
      </w:r>
      <w:r>
        <w:br/>
        <w:t>2,5 балла – смысловые звенья воспроизведены с незначительными сокращениями, нет связующих звеньев;</w:t>
      </w:r>
      <w:r>
        <w:br/>
      </w:r>
      <w:r>
        <w:br/>
        <w:t>1 балл – пересказ неполный, имеются незначительные сокращения, или искажение смысла, или включение посторонней информации;</w:t>
      </w:r>
      <w:r>
        <w:br/>
      </w:r>
      <w:r>
        <w:br/>
        <w:t>0 баллов – невыполнение.</w:t>
      </w:r>
      <w:r>
        <w:br/>
      </w:r>
      <w:r>
        <w:br/>
      </w:r>
      <w:r>
        <w:rPr>
          <w:b/>
          <w:bCs/>
          <w:i/>
          <w:iCs/>
        </w:rPr>
        <w:t>б) критерий лексико-грамматического оформления высказывания:</w:t>
      </w:r>
      <w:r>
        <w:br/>
      </w:r>
      <w:r>
        <w:br/>
        <w:t xml:space="preserve">5 баллов – пересказ составлен без нарушений лексических и грамматических форм; </w:t>
      </w:r>
      <w:r>
        <w:br/>
      </w:r>
      <w:r>
        <w:br/>
        <w:t xml:space="preserve">2,5 балла – пересказ не содержит </w:t>
      </w:r>
      <w:proofErr w:type="spellStart"/>
      <w:r>
        <w:t>аграмматизмов</w:t>
      </w:r>
      <w:proofErr w:type="spellEnd"/>
      <w:r>
        <w:t>, но наблюдаются стереотипность оформления высказывания, поиск слов, отдельные близкие словесные замены;</w:t>
      </w:r>
      <w:r>
        <w:br/>
      </w:r>
      <w:r>
        <w:br/>
        <w:t xml:space="preserve">1 балл – отмечаются </w:t>
      </w:r>
      <w:proofErr w:type="spellStart"/>
      <w:r>
        <w:t>аграмматизмы</w:t>
      </w:r>
      <w:proofErr w:type="spellEnd"/>
      <w:r>
        <w:t>, повторы, неадекватные словесные замены, неадекватное использование лексических средств;</w:t>
      </w:r>
      <w:r>
        <w:br/>
      </w:r>
      <w:r>
        <w:br/>
        <w:t>0 баллов – пересказ не доступен.</w:t>
      </w:r>
      <w:r>
        <w:br/>
      </w:r>
      <w:r>
        <w:br/>
      </w:r>
      <w:r>
        <w:rPr>
          <w:b/>
          <w:bCs/>
          <w:i/>
          <w:iCs/>
        </w:rPr>
        <w:t>в)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критерий самостоятельности выполнения задания:</w:t>
      </w:r>
      <w:r>
        <w:br/>
      </w:r>
      <w:r>
        <w:br/>
        <w:t>5 баллов – самостоятельный пересказ после первого предъявления;</w:t>
      </w:r>
      <w:r>
        <w:br/>
      </w:r>
      <w:r>
        <w:br/>
        <w:t>2,5 балла – пересказ после минимальной помощи (1-2 вопроса) или после повторного прочтения;</w:t>
      </w:r>
      <w:r>
        <w:br/>
      </w:r>
      <w:r>
        <w:br/>
        <w:t>1 балл – пересказ по вопросам;</w:t>
      </w:r>
      <w:r>
        <w:br/>
      </w:r>
      <w:r>
        <w:br/>
        <w:t>0 баллов – пересказ задание не доступен даже по вопросам</w:t>
      </w:r>
      <w:proofErr w:type="gramStart"/>
      <w:r>
        <w:t xml:space="preserve"> .</w:t>
      </w:r>
      <w:proofErr w:type="gramEnd"/>
      <w:r>
        <w:br/>
        <w:t>Баллы, начисленные по каждому критерию, суммируются, затем высчитывается количество баллов за всю серию.</w:t>
      </w:r>
      <w:r>
        <w:br/>
      </w:r>
      <w:r>
        <w:rPr>
          <w:b/>
          <w:bCs/>
          <w:i/>
          <w:iCs/>
        </w:rPr>
        <w:t>Максимальная оценка за серию №4 равна 30 баллам</w:t>
      </w:r>
    </w:p>
    <w:p w:rsidR="002A57EF" w:rsidRPr="00DC363D" w:rsidRDefault="002A57EF" w:rsidP="002A57EF">
      <w:pPr>
        <w:spacing w:before="100" w:beforeAutospacing="1" w:after="100" w:afterAutospacing="1"/>
        <w:ind w:left="360"/>
      </w:pPr>
      <w:r>
        <w:t>Таким образом, экспресс-методика обследования включает 77 заданий</w:t>
      </w:r>
      <w:proofErr w:type="gramStart"/>
      <w:r>
        <w:t xml:space="preserve"> В</w:t>
      </w:r>
      <w:proofErr w:type="gramEnd"/>
      <w:r>
        <w:t>се задания объединены в четыре  серии. Наибольшее количество баллов за всю методику равно 120. Приняв эту цифру за 100%, можно высчитать процентное выра</w:t>
      </w:r>
      <w:r>
        <w:softHyphen/>
        <w:t>жение успешности выполнения речевых проб. Если 120 принять за 100%, то процент успешности выполнения методики каждым испытуемым можно вычислить, умножив суммарный балл за весь тест на 100 и разделив полу</w:t>
      </w:r>
      <w:r>
        <w:softHyphen/>
        <w:t>ченный результат на 120. Полученное значение можно соот</w:t>
      </w:r>
      <w:r>
        <w:softHyphen/>
        <w:t>нести с одним из четырех  уровней успешности:</w:t>
      </w:r>
      <w:r>
        <w:br/>
      </w:r>
      <w:r>
        <w:lastRenderedPageBreak/>
        <w:br/>
        <w:t>IV уровень — 100 – 80%;</w:t>
      </w:r>
      <w:r>
        <w:br/>
      </w:r>
      <w:r>
        <w:br/>
        <w:t>III уровень — 79,9 – 65%;</w:t>
      </w:r>
      <w:r>
        <w:br/>
      </w:r>
      <w:r>
        <w:br/>
        <w:t>II уровень — 64,9 – 45%;</w:t>
      </w:r>
      <w:r>
        <w:br/>
      </w:r>
      <w:r>
        <w:br/>
        <w:t>I уровень — 44,9% и ниже.</w:t>
      </w:r>
      <w:r>
        <w:br/>
      </w:r>
      <w:r>
        <w:br/>
        <w:t xml:space="preserve">IV уровень успешности выполнения теста соответствует возрастной норме речевого развития, успешность III уровня свидетельствует о наличии нетяжелого системного речевого нарушения или выраженной </w:t>
      </w:r>
      <w:proofErr w:type="spellStart"/>
      <w:r>
        <w:t>несформированности</w:t>
      </w:r>
      <w:proofErr w:type="spellEnd"/>
      <w:r>
        <w:t xml:space="preserve"> отдельных сторон речи. Такая результативность характерна для детей с ОНР III уровня, </w:t>
      </w:r>
      <w:proofErr w:type="spellStart"/>
      <w:r>
        <w:t>нерезко</w:t>
      </w:r>
      <w:proofErr w:type="spellEnd"/>
      <w:r>
        <w:t xml:space="preserve"> выраженным общим недоразвитием речи, лексико-грамматическим недоразвитием речи, задержкой психического развития. </w:t>
      </w:r>
      <w:proofErr w:type="gramStart"/>
      <w:r>
        <w:t>Успешность выполнения заданий тестовой методики, соответствующая II уровню, указывает на наличие выраженного ОНР, ЗПР.</w:t>
      </w:r>
      <w:proofErr w:type="gramEnd"/>
      <w:r>
        <w:t xml:space="preserve"> Помимо речевого дефекта, у таких детей обычно выявляется недостаточность познавательной деятельности, поэтому им необходима комплексная коррекция, как логопедическая, так и психологическая. Самый низкий уровень успешности тестируемого свидетельствует о грубом недоразвитии всех сторон речи ребенка. У таких детей часто диагностируется моторная алалия или сложный дефект. Для анализа механизмов и структуры таких нарушений представляется более продуктивным нейропсихологический подход.</w:t>
      </w:r>
    </w:p>
    <w:p w:rsidR="002A57EF" w:rsidRPr="00DC363D" w:rsidRDefault="002A57EF" w:rsidP="002A57EF"/>
    <w:p w:rsidR="0094597C" w:rsidRDefault="0094597C"/>
    <w:sectPr w:rsidR="0094597C" w:rsidSect="0006637E">
      <w:pgSz w:w="11906" w:h="16838"/>
      <w:pgMar w:top="284" w:right="84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EF"/>
    <w:rsid w:val="002A57EF"/>
    <w:rsid w:val="006152B2"/>
    <w:rsid w:val="008D318E"/>
    <w:rsid w:val="0094597C"/>
    <w:rsid w:val="00EB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A57EF"/>
  </w:style>
  <w:style w:type="character" w:customStyle="1" w:styleId="butback">
    <w:name w:val="butback"/>
    <w:basedOn w:val="a0"/>
    <w:rsid w:val="002A5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1566</Words>
  <Characters>8930</Characters>
  <Application>Microsoft Office Word</Application>
  <DocSecurity>0</DocSecurity>
  <Lines>74</Lines>
  <Paragraphs>20</Paragraphs>
  <ScaleCrop>false</ScaleCrop>
  <Company>Home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2014-02-02T19:04:00Z</dcterms:created>
  <dcterms:modified xsi:type="dcterms:W3CDTF">2014-02-02T19:14:00Z</dcterms:modified>
</cp:coreProperties>
</file>