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24" w:rsidRDefault="00707524" w:rsidP="00A842E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477B4" w:rsidRDefault="00A842E3" w:rsidP="00A842E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842E3">
        <w:rPr>
          <w:rFonts w:ascii="Times New Roman" w:hAnsi="Times New Roman" w:cs="Times New Roman"/>
          <w:color w:val="FF0000"/>
          <w:sz w:val="32"/>
          <w:szCs w:val="32"/>
        </w:rPr>
        <w:t>ОПОРНЫЙ СИГНАЛ №1</w:t>
      </w:r>
    </w:p>
    <w:p w:rsidR="00707524" w:rsidRPr="00A842E3" w:rsidRDefault="00707524" w:rsidP="00A842E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842E3" w:rsidRPr="00A842E3" w:rsidRDefault="005C49A0" w:rsidP="00A842E3">
      <w:pPr>
        <w:jc w:val="center"/>
        <w:rPr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group id="_x0000_s1053" style="position:absolute;left:0;text-align:left;margin-left:60.3pt;margin-top:-.2pt;width:637.5pt;height:361.65pt;z-index:251681792" coordorigin="2340,2716" coordsize="12750,72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690;top:2716;width:3405;height:675;v-text-anchor:middle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842E3">
                      <w:rPr>
                        <w:sz w:val="24"/>
                        <w:szCs w:val="24"/>
                      </w:rPr>
                      <w:t>ДВИЖЕНИЕ ПО РЕКЕ</w:t>
                    </w:r>
                  </w:p>
                </w:txbxContent>
              </v:textbox>
            </v:shape>
            <v:shape id="_x0000_s1027" type="#_x0000_t202" style="position:absolute;left:2430;top:3976;width:2250;height:1200;v-text-anchor:middle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 w:rsidRPr="00A842E3">
                      <w:rPr>
                        <w:sz w:val="44"/>
                        <w:szCs w:val="44"/>
                        <w:vertAlign w:val="subscript"/>
                      </w:rPr>
                      <w:t>соб</w:t>
                    </w:r>
                  </w:p>
                </w:txbxContent>
              </v:textbox>
            </v:shape>
            <v:shape id="_x0000_s1028" type="#_x0000_t202" style="position:absolute;left:5655;top:3961;width:2355;height:1215;v-text-anchor:middle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>
                      <w:rPr>
                        <w:sz w:val="44"/>
                        <w:szCs w:val="44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 id="_x0000_s1029" type="#_x0000_t202" style="position:absolute;left:9060;top:3976;width:2355;height:1200;v-text-anchor:middle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>
                      <w:rPr>
                        <w:sz w:val="44"/>
                        <w:szCs w:val="44"/>
                        <w:vertAlign w:val="subscript"/>
                      </w:rPr>
                      <w:t xml:space="preserve">по </w:t>
                    </w:r>
                    <w:proofErr w:type="spellStart"/>
                    <w:r>
                      <w:rPr>
                        <w:sz w:val="44"/>
                        <w:szCs w:val="44"/>
                        <w:vertAlign w:val="subscript"/>
                      </w:rPr>
                      <w:t>теч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2435;top:4006;width:2250;height:1170;v-text-anchor:middle">
              <v:textbox>
                <w:txbxContent>
                  <w:p w:rsidR="00A842E3" w:rsidRPr="00A842E3" w:rsidRDefault="00A842E3" w:rsidP="00A842E3">
                    <w:pPr>
                      <w:jc w:val="center"/>
                      <w:rPr>
                        <w:sz w:val="44"/>
                        <w:szCs w:val="44"/>
                        <w:vertAlign w:val="subscript"/>
                      </w:rPr>
                    </w:pPr>
                    <w:r w:rsidRPr="00A842E3">
                      <w:rPr>
                        <w:sz w:val="44"/>
                        <w:szCs w:val="44"/>
                      </w:rPr>
                      <w:t>Ѵ</w:t>
                    </w:r>
                    <w:r>
                      <w:rPr>
                        <w:sz w:val="44"/>
                        <w:szCs w:val="44"/>
                        <w:vertAlign w:val="subscript"/>
                      </w:rPr>
                      <w:t>пр</w:t>
                    </w:r>
                    <w:proofErr w:type="gramStart"/>
                    <w:r>
                      <w:rPr>
                        <w:sz w:val="44"/>
                        <w:szCs w:val="44"/>
                        <w:vertAlign w:val="subscript"/>
                      </w:rPr>
                      <w:t>.т</w:t>
                    </w:r>
                    <w:proofErr w:type="gramEnd"/>
                    <w:r>
                      <w:rPr>
                        <w:sz w:val="44"/>
                        <w:szCs w:val="44"/>
                        <w:vertAlign w:val="subscript"/>
                      </w:rPr>
                      <w:t>еч</w:t>
                    </w:r>
                  </w:p>
                </w:txbxContent>
              </v:textbox>
            </v:shape>
            <v:shape id="_x0000_s1033" type="#_x0000_t202" style="position:absolute;left:5670;top:6346;width:2340;height:1275;v-text-anchor:middle">
              <v:textbox>
                <w:txbxContent>
                  <w:p w:rsidR="00A842E3" w:rsidRPr="00707524" w:rsidRDefault="00707524" w:rsidP="00707524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707524">
                      <w:rPr>
                        <w:sz w:val="56"/>
                        <w:szCs w:val="56"/>
                      </w:rPr>
                      <w:t>?</w:t>
                    </w:r>
                  </w:p>
                </w:txbxContent>
              </v:textbox>
            </v:shape>
            <v:shape id="_x0000_s1034" type="#_x0000_t202" style="position:absolute;left:2430;top:6346;width:2250;height:1290;v-text-anchor:middle">
              <v:textbox>
                <w:txbxContent>
                  <w:p w:rsidR="00A842E3" w:rsidRPr="00707524" w:rsidRDefault="00707524" w:rsidP="00A842E3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707524">
                      <w:rPr>
                        <w:sz w:val="56"/>
                        <w:szCs w:val="56"/>
                      </w:rPr>
                      <w:t>?</w:t>
                    </w:r>
                  </w:p>
                </w:txbxContent>
              </v:textbox>
            </v:shape>
            <v:shape id="_x0000_s1037" type="#_x0000_t202" style="position:absolute;left:8805;top:6349;width:2850;height:1275;v-text-anchor:middle">
              <v:textbox>
                <w:txbxContent>
                  <w:p w:rsidR="00A842E3" w:rsidRPr="00707524" w:rsidRDefault="00707524" w:rsidP="00707524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707524">
                      <w:rPr>
                        <w:sz w:val="36"/>
                        <w:szCs w:val="36"/>
                      </w:rPr>
                      <w:t>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 xml:space="preserve">по </w:t>
                    </w:r>
                    <w:proofErr w:type="spellStart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теч</w:t>
                    </w:r>
                    <w:proofErr w:type="spellEnd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 xml:space="preserve"> </w:t>
                    </w:r>
                    <w:r w:rsidRPr="00707524">
                      <w:rPr>
                        <w:sz w:val="36"/>
                        <w:szCs w:val="36"/>
                      </w:rPr>
                      <w:t>=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соб</w:t>
                    </w:r>
                    <w:r w:rsidRPr="00707524">
                      <w:rPr>
                        <w:sz w:val="36"/>
                        <w:szCs w:val="36"/>
                      </w:rPr>
                      <w:t>+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 id="_x0000_s1038" type="#_x0000_t202" style="position:absolute;left:5655;top:8674;width:2340;height:1275;v-text-anchor:middle">
              <v:textbox inset=",.3mm">
                <w:txbxContent>
                  <w:p w:rsidR="00A842E3" w:rsidRDefault="00707524" w:rsidP="00707524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707524">
                      <w:rPr>
                        <w:sz w:val="36"/>
                        <w:szCs w:val="36"/>
                      </w:rPr>
                      <w:t>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 xml:space="preserve">по </w:t>
                    </w:r>
                    <w:proofErr w:type="spellStart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</w:t>
                    </w:r>
                    <w:proofErr w:type="gramStart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ч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>-</w:t>
                    </w:r>
                    <w:proofErr w:type="gramEnd"/>
                    <w:r w:rsidRPr="00707524">
                      <w:rPr>
                        <w:sz w:val="36"/>
                        <w:szCs w:val="36"/>
                      </w:rPr>
                      <w:t xml:space="preserve">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соб</w:t>
                    </w:r>
                  </w:p>
                  <w:p w:rsidR="00707524" w:rsidRPr="00707524" w:rsidRDefault="00707524" w:rsidP="00707524">
                    <w:pPr>
                      <w:jc w:val="center"/>
                    </w:pPr>
                    <w:r w:rsidRPr="00707524">
                      <w:rPr>
                        <w:sz w:val="36"/>
                        <w:szCs w:val="36"/>
                      </w:rPr>
                      <w:t>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со</w:t>
                    </w:r>
                    <w:proofErr w:type="gramStart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б</w:t>
                    </w:r>
                    <w:r>
                      <w:rPr>
                        <w:sz w:val="36"/>
                        <w:szCs w:val="36"/>
                      </w:rPr>
                      <w:t>-</w:t>
                    </w:r>
                    <w:proofErr w:type="gramEnd"/>
                    <w:r w:rsidRPr="00707524">
                      <w:rPr>
                        <w:sz w:val="36"/>
                        <w:szCs w:val="36"/>
                      </w:rPr>
                      <w:t xml:space="preserve"> Ѵ</w:t>
                    </w:r>
                    <w:r>
                      <w:rPr>
                        <w:sz w:val="36"/>
                        <w:szCs w:val="36"/>
                        <w:vertAlign w:val="subscript"/>
                      </w:rPr>
                      <w:t>пр.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 id="_x0000_s1039" type="#_x0000_t202" style="position:absolute;left:2340;top:8674;width:2340;height:1275;v-text-anchor:middle">
              <v:textbox inset=",.3mm">
                <w:txbxContent>
                  <w:p w:rsidR="00A842E3" w:rsidRDefault="00707524" w:rsidP="00707524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707524">
                      <w:rPr>
                        <w:sz w:val="36"/>
                        <w:szCs w:val="36"/>
                      </w:rPr>
                      <w:t>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 xml:space="preserve">по </w:t>
                    </w:r>
                    <w:proofErr w:type="spellStart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</w:t>
                    </w:r>
                    <w:proofErr w:type="gramStart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ч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>-</w:t>
                    </w:r>
                    <w:proofErr w:type="gramEnd"/>
                    <w:r w:rsidRPr="00707524">
                      <w:rPr>
                        <w:sz w:val="36"/>
                        <w:szCs w:val="36"/>
                      </w:rPr>
                      <w:t xml:space="preserve">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теч</w:t>
                    </w:r>
                  </w:p>
                  <w:p w:rsidR="00707524" w:rsidRPr="00707524" w:rsidRDefault="00707524" w:rsidP="00707524">
                    <w:pPr>
                      <w:jc w:val="center"/>
                    </w:pPr>
                    <w:r w:rsidRPr="00707524">
                      <w:rPr>
                        <w:sz w:val="36"/>
                        <w:szCs w:val="36"/>
                      </w:rPr>
                      <w:t>Ѵ</w:t>
                    </w:r>
                    <w:r>
                      <w:rPr>
                        <w:sz w:val="36"/>
                        <w:szCs w:val="36"/>
                        <w:vertAlign w:val="subscript"/>
                      </w:rPr>
                      <w:t>пр</w:t>
                    </w:r>
                    <w:proofErr w:type="gramStart"/>
                    <w:r>
                      <w:rPr>
                        <w:sz w:val="36"/>
                        <w:szCs w:val="36"/>
                        <w:vertAlign w:val="subscript"/>
                      </w:rPr>
                      <w:t>.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</w:t>
                    </w:r>
                    <w:proofErr w:type="gramEnd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еч</w:t>
                    </w:r>
                    <w:r>
                      <w:rPr>
                        <w:sz w:val="36"/>
                        <w:szCs w:val="36"/>
                      </w:rPr>
                      <w:t>+</w:t>
                    </w:r>
                    <w:r w:rsidRPr="00707524">
                      <w:rPr>
                        <w:sz w:val="36"/>
                        <w:szCs w:val="36"/>
                      </w:rPr>
                      <w:t xml:space="preserve">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 id="_x0000_s1041" type="#_x0000_t202" style="position:absolute;left:12240;top:6361;width:2850;height:1275;v-text-anchor:middle">
              <v:textbox>
                <w:txbxContent>
                  <w:p w:rsidR="00707524" w:rsidRPr="00707524" w:rsidRDefault="00707524" w:rsidP="00707524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707524">
                      <w:rPr>
                        <w:sz w:val="36"/>
                        <w:szCs w:val="36"/>
                      </w:rPr>
                      <w:t>Ѵ</w:t>
                    </w:r>
                    <w:r>
                      <w:rPr>
                        <w:sz w:val="36"/>
                        <w:szCs w:val="36"/>
                        <w:vertAlign w:val="subscript"/>
                      </w:rPr>
                      <w:t>пр</w:t>
                    </w:r>
                    <w:proofErr w:type="gramStart"/>
                    <w:r>
                      <w:rPr>
                        <w:sz w:val="36"/>
                        <w:szCs w:val="36"/>
                        <w:vertAlign w:val="subscript"/>
                      </w:rPr>
                      <w:t>.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</w:t>
                    </w:r>
                    <w:proofErr w:type="gramEnd"/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 xml:space="preserve">еч </w:t>
                    </w:r>
                    <w:r w:rsidRPr="00707524">
                      <w:rPr>
                        <w:sz w:val="36"/>
                        <w:szCs w:val="36"/>
                      </w:rPr>
                      <w:t>=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соб</w:t>
                    </w:r>
                    <w:r>
                      <w:rPr>
                        <w:sz w:val="36"/>
                        <w:szCs w:val="36"/>
                      </w:rPr>
                      <w:t>-</w:t>
                    </w:r>
                    <w:r w:rsidRPr="00707524">
                      <w:rPr>
                        <w:sz w:val="36"/>
                        <w:szCs w:val="36"/>
                      </w:rPr>
                      <w:t xml:space="preserve"> Ѵ</w:t>
                    </w:r>
                    <w:r w:rsidRPr="00707524">
                      <w:rPr>
                        <w:sz w:val="36"/>
                        <w:szCs w:val="36"/>
                        <w:vertAlign w:val="subscript"/>
                      </w:rPr>
                      <w:t>теч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215;top:3181;width:2400;height:660;flip:x" o:connectortype="straight">
              <v:stroke endarrow="block"/>
            </v:shape>
            <v:shape id="_x0000_s1043" type="#_x0000_t32" style="position:absolute;left:10215;top:3181;width:2385;height:660" o:connectortype="straight">
              <v:stroke endarrow="block"/>
            </v:shape>
            <v:shape id="_x0000_s1044" type="#_x0000_t32" style="position:absolute;left:6900;top:3496;width:315;height:465;flip:x" o:connectortype="straight">
              <v:stroke endarrow="block"/>
            </v:shape>
            <v:shape id="_x0000_s1045" type="#_x0000_t32" style="position:absolute;left:9660;top:3511;width:210;height:450" o:connectortype="straight">
              <v:stroke endarrow="block"/>
            </v:shape>
            <v:shape id="_x0000_s1046" type="#_x0000_t32" style="position:absolute;left:3525;top:5266;width:0;height:990" o:connectortype="straight">
              <v:stroke endarrow="block"/>
            </v:shape>
            <v:shape id="_x0000_s1047" type="#_x0000_t32" style="position:absolute;left:6810;top:5266;width:15;height:990;flip:x" o:connectortype="straight">
              <v:stroke endarrow="block"/>
            </v:shape>
            <v:shape id="_x0000_s1048" type="#_x0000_t32" style="position:absolute;left:10215;top:5266;width:0;height:990" o:connectortype="straight">
              <v:stroke endarrow="block"/>
            </v:shape>
            <v:shape id="_x0000_s1049" type="#_x0000_t32" style="position:absolute;left:13590;top:5266;width:0;height:1080" o:connectortype="straight">
              <v:stroke endarrow="block"/>
            </v:shape>
            <v:shape id="_x0000_s1050" type="#_x0000_t32" style="position:absolute;left:3525;top:7636;width:0;height:915" o:connectortype="straight">
              <v:stroke endarrow="block"/>
            </v:shape>
            <v:shape id="_x0000_s1051" type="#_x0000_t32" style="position:absolute;left:6825;top:7636;width:0;height:915" o:connectortype="straight">
              <v:stroke endarrow="block"/>
            </v:shape>
          </v:group>
        </w:pict>
      </w:r>
    </w:p>
    <w:sectPr w:rsidR="00A842E3" w:rsidRPr="00A842E3" w:rsidSect="00A842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2E3"/>
    <w:rsid w:val="00000F88"/>
    <w:rsid w:val="00033C6D"/>
    <w:rsid w:val="005C49A0"/>
    <w:rsid w:val="005E638B"/>
    <w:rsid w:val="00707524"/>
    <w:rsid w:val="007C78C7"/>
    <w:rsid w:val="00803125"/>
    <w:rsid w:val="00A842E3"/>
    <w:rsid w:val="00B94F8A"/>
    <w:rsid w:val="00D45033"/>
    <w:rsid w:val="00D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2"/>
        <o:r id="V:Rule12" type="connector" idref="#_x0000_s1050"/>
        <o:r id="V:Rule13" type="connector" idref="#_x0000_s1044"/>
        <o:r id="V:Rule14" type="connector" idref="#_x0000_s1043"/>
        <o:r id="V:Rule15" type="connector" idref="#_x0000_s1046"/>
        <o:r id="V:Rule16" type="connector" idref="#_x0000_s1051"/>
        <o:r id="V:Rule17" type="connector" idref="#_x0000_s1047"/>
        <o:r id="V:Rule18" type="connector" idref="#_x0000_s1045"/>
        <o:r id="V:Rule19" type="connector" idref="#_x0000_s1049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2</cp:revision>
  <dcterms:created xsi:type="dcterms:W3CDTF">2010-01-13T04:23:00Z</dcterms:created>
  <dcterms:modified xsi:type="dcterms:W3CDTF">2010-01-18T06:02:00Z</dcterms:modified>
</cp:coreProperties>
</file>