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20" w:rsidRPr="00EF1F20" w:rsidRDefault="00EF1F20" w:rsidP="00EF1F20">
      <w:pPr>
        <w:widowControl w:val="0"/>
        <w:autoSpaceDE w:val="0"/>
        <w:autoSpaceDN w:val="0"/>
        <w:adjustRightInd w:val="0"/>
        <w:spacing w:after="200" w:line="276" w:lineRule="auto"/>
        <w:jc w:val="center"/>
        <w:rPr>
          <w:rFonts w:ascii="Calibri" w:eastAsia="Times New Roman" w:hAnsi="Calibri" w:cs="Calibri"/>
          <w:b/>
          <w:sz w:val="28"/>
          <w:szCs w:val="28"/>
          <w:lang w:eastAsia="ru-RU"/>
        </w:rPr>
      </w:pPr>
      <w:r w:rsidRPr="00EF1F20">
        <w:rPr>
          <w:rFonts w:ascii="Calibri" w:eastAsia="Times New Roman" w:hAnsi="Calibri" w:cs="Calibri"/>
          <w:b/>
          <w:sz w:val="28"/>
          <w:szCs w:val="28"/>
          <w:lang w:eastAsia="ru-RU"/>
        </w:rPr>
        <w:t>Тема выступления: «Применение интерактивных методик и педагогических технологий на уроках ИЗО.»</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Приоритетным направлением новых образовательных стандартов является формирование универсальных учебных действий, как важной составляющей фундаментального ядра образования. Современная система образования должна вооружить ребенка универсальными способами действий, которые помогут ему развиваться и совершенствоваться. Концепция развития универсальных учебных действий разработана на основе системно-деятельностного подхода (Л.С.Выготского, А.Н. Леонтьева, П.Я. Гальперина, Д.Б. Эльконина, В.В.Давыдова) группой авторов А.Г. Асмоловым, Г.В.Бурменской, И.А.Володарской, О.А.Карабановой, Н.Г.Салминой и С.В. Молчановым.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Универсальный характер учебных действий проявляется в том, что они обеспечивают целостность общекультурного, личностного и познавательного развития и саморазвития. Универсальные учебные действия обеспечивают этапы усвоения учебного содержания и формирования психологических способностей учащегося.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В соответствии с ФГОС представлено четыре вида УУД личностные, регулятивные, познавательные, коммуникативные.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Личностные универсальные учебные действия отражают систему ценностных ориентаций школьника, его отношение к различным сторонам окружающего мира.</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Регулятивные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lastRenderedPageBreak/>
        <w:t xml:space="preserve">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Познавательные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Коммуникативные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Универсальные учебные действия (УУД) открывают учащимся возможность широкой ориентации в различных предметных областях и в самой учебной деятельности.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На собственном педагогическом опыте я убедилась, что использование на уроках художественно-эстетического цикла интерактивных методик, способствует формированию универсальных учебных действий (УУД) и художественно-творческой активности учащихся.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lastRenderedPageBreak/>
        <w:t xml:space="preserve">Формирование регулятивных универсальные учебные действий осуществляется в результате продуктивных видов художественно-творческой деятельности. На каждом занятии ребенок создаёт уникальный рисунок (творческий продукт), используя различные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или др.), выполняет работу в материале, придумывает название рисунку,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Личностные результаты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Формирование коммуникативных универсальных учебных действий обеспечивается в результате диалога субъектов образовательного процесса.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В процессе формирования УУД учитель</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-учит ставить цели и искать пути их достижения,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показывает достижения ребенка по сравнению с его ранними достижениями;</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 привлекает к открытию новых знаний;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обучает приемам работы в группах;</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обучает самопроверке;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 знакомит с разными источниками информации, используемыми для поиска знаний;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учит делать нравственный выбор в рамках работы с ценностным материалом и его анализом,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учит самостоятельно выбирать критерии для оценки,</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 учит отстаивать собственное мнение и уважать мнения других,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 организует формы деятельности, в рамках которой дети усваивают нужные знания и ценностный ряд,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учит сотрудничеству между учениками, учениками и учителем.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lastRenderedPageBreak/>
        <w:t>При изучении предмета Изобразительное искусство в школе, я использую различные интерактивные методы с точки зрения формирования УУД. Например, метод проектов, исследовательский метод, дискуссии, игра, метод мозгового штурма, коллективно-творческие дела (КТД), информационно-компьютерные технологии (ИКТ), здоровье сберегающие технологии и др.</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Метод проектов можно рассматривать как одну из личностно 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Метод проектов ориентирован на самостоятельную деятельность обучающихся индивидуальную, парную, групповую.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Проектная деятельность предполагает подготовку докладов, рефератов, проведение исследований, создание видеофильмов, альбомов, плакатов, статей в газете, инструкций, театральных инсценировок, игр (спортивная, деловая), web-сайтов и др. В процессе выполнения проекта, обучающиеся используют учебную, учебно-методическую, научную, справочную литературу, цифровые образовательные ресурсы (ЦОР).</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В ходе выполнения проекта учащийся оказывается вовлеченным в активный познавательный творческий процесс; при этом происходит как закрепление имеющихся знаний, так и получение новых. Кроме того, формируются исследовательские (поисковые), коммуникативные, организационно-управленческие, рефлексивные умения и навыки работы в команде.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Чтобы не пропал интерес к проектной деятельности задания нужно выбирать разно уровневые, опираясь на знания ребят, на их возрастные особенности, использовать меж предметную интеграцию не только по содержанию, но и по выполнению практических заданий (примеры проектов Женский образ в искусстве, Образ моря в искусстве, История одного предмета печь, сундук, кукла, утюг и др.)</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Исследовательский метод направлен на развитие активности, ответственности и самостоятельности в принятии решений. Исследовательская форма проведения занятий с применением элементов проблемного обучения предполагает следующую деятельность обучающихся ознакомление с областью и содержанием предметного исследования; формулировка целей и задач исследования; сбор данных об изучаемом объекте (явлении, процессе); проведение исследования (теоретического или экспериментального) - выделение изучаемых факторов, выдвижение гипотезы, моделирование и проведение эксперимента; объяснение полученных данных; формулировка выводов, оформление результатов работы. Исследовательская деятельность позволяет сформировать такие учебные действия, как умения творческой работы, самостоятельность при принятии решений, развитие наблюдательности, воображения, умения нестандартно мыслить, выражать и отстаивать свою или групповую точку зрения (примеры проектов: Нужно ли современному человеку искусство, Образ героев -защитников в искусстве).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Дискуссии представляют собой такую форму познавательной деятельности, в которой учащиеся упорядоченно и целенаправленно обмениваются своими мнениями, идеями по обсуждаемой проблеме. Содержание докладов может быть связано с изучаемым материалом или выходить за рамки программы, в том числе иметь профессиональную направленность.</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lastRenderedPageBreak/>
        <w:t>Во время дискуссии формируются следующие УУД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Игра как средство интерактивного обучения способствует появлению непроизвольного интереса к познанию основ изобразительного искусства. Использование разных типов игр, вызывает формирование положительной мотивации изучения данного предмета. Игра стимулирует активное участие ребят в учебном процессе и вовлекает даже наиболее пассивных.</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В результате игры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Мозговой штурм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Образовательный процесс протекает таким образом, что практически все обучающиеся оказываются вовлеченными в процесс познания. Такое взаимодействие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Коллективно-творческие дела (КТД) на уроках позволяет интенсивно накапливать положительный опыт в решении коммуникативных и регулятивных задач здесь важно умение вести диалог, отстаивать свою точку зрения, считаться с мнением партнёра, ориентироваться на конечный результат, причём не индивидуальный, а общий.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Можно предложить ученикам парные задания (например, Праздник цветения сакуры, Олимпийские игры Древней Греции и др.),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Дети учатся слушать и слышать других, критически анализировать и оценивать свою и чужую точки зрения, аргументировать своё мнение, признавать свои ошибки или доказывать свою правоту, находить в предположениях рациональные зёрна, используя их, строить решения.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Информационно-компьютерные технологии (ИКТ) дают много возможностей для творчества учителя.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На уроках изобразительного искусства учащиеся 5 - 6-х классов начинают работать с мультимедийными учебными пособиями, художественными программами от компаний Просвещение-МЕДИА, МедиаХауз, Новый диск и др. В этих программах учебная информация представлена в интересной форме с использованием рисунков, схем, звука, видеоизображения; различные эффекты вывода текста и графических фрагментов.</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Учащиеся 7 -е классов для подготовки докладов, рефератов и творческих работ по искусству </w:t>
      </w:r>
      <w:r w:rsidRPr="00EF1F20">
        <w:rPr>
          <w:rFonts w:ascii="Calibri" w:eastAsia="Times New Roman" w:hAnsi="Calibri" w:cs="Calibri"/>
          <w:lang w:eastAsia="ru-RU"/>
        </w:rPr>
        <w:lastRenderedPageBreak/>
        <w:t>используют энциклопедии Кирилла и Мефодия, Большую Советскую Энциклопедию на CD-ROM. 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 поддерживают удобную систему поиска по ключевым словам и понятиям; имеют удобную систему навигации на основе гиперссылок; поддерживают функцию печати, копирования; включают в себя аудио- и видеофрагменты, викторины с быстрой обработкой полученных результатов.</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Выполняя задания, дети развивают двигательные навыки, фантазию, пространственное воображение, память, получают дополнительные навыки работы с компьютером.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Учащиеся могут составлять свои презентации и осуществлять образовательные проекты, создавая тем самым многочисленные варианты работы, которые помогут разнообразить уроки искусства. Это могут быть небольшие Web-странички, слайд-шоу и мультимедиа презентации по творчеству художника, а также тесты-опросники по различным темам.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b/>
          <w:lang w:eastAsia="ru-RU"/>
        </w:rPr>
      </w:pPr>
      <w:r w:rsidRPr="00EF1F20">
        <w:rPr>
          <w:rFonts w:ascii="Calibri" w:eastAsia="Times New Roman" w:hAnsi="Calibri" w:cs="Calibri"/>
          <w:b/>
          <w:lang w:eastAsia="ru-RU"/>
        </w:rPr>
        <w:t>Заключение.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Применение интерактивных методик и педагогических технологий на уроках ИЗО способствуют формированию учебной мотивации, творческой и познавательной активности, самостоятельности, ответственности; критического и художественно-образного мышления учащихся, умению самостоятельного поиска информации.</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Учебный предмет Изобразительное искусство вносит особый вклад в формирование универсальных учебных действий личностных, регулятивных, познавательных, коммуникативных,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b/>
          <w:lang w:eastAsia="ru-RU"/>
        </w:rPr>
      </w:pPr>
      <w:r w:rsidRPr="00EF1F20">
        <w:rPr>
          <w:rFonts w:ascii="Calibri" w:eastAsia="Times New Roman" w:hAnsi="Calibri" w:cs="Calibri"/>
          <w:b/>
          <w:lang w:eastAsia="ru-RU"/>
        </w:rPr>
        <w:t>Рекомендации учителям.</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Стихийность развития универсальных учебных действий находит отражение в острых проблемах школьного обучения, поэтому необходимо формировать универсальные учебные действия уже в начальной школе.</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b/>
          <w:lang w:eastAsia="ru-RU"/>
        </w:rPr>
      </w:pPr>
      <w:r w:rsidRPr="00EF1F20">
        <w:rPr>
          <w:rFonts w:ascii="Calibri" w:eastAsia="Times New Roman" w:hAnsi="Calibri" w:cs="Calibri"/>
          <w:b/>
          <w:lang w:eastAsia="ru-RU"/>
        </w:rPr>
        <w:lastRenderedPageBreak/>
        <w:t>Список литературы.</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1.Асмолов А.Г., Бурменская Г.В., Володарская И.А., Карабанова О.А., Салмина Н.Г. Молчанов С.В. Как проектировать универсальные учебные действия от действия к мысли  Под ред. А.Г. Асмолова - М., 2010.</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2. Аствацатуров Г. О. Технология современного урока и творчества учителя школы. 2002 г.</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3.Вяземский Е.Е., Стрелова О.Ю. Методика преподавания в школе. М., 2000 - 72 c.</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4.Изобразительное искусство.Учебно-методическая комплексная документация- М.Агар, 2009.</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5. Ксензова Г.Ю. Перспективные школьные технологии. Учебное пособие. М. Педагогическое общество России, 2000.</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6. Лакоценина М. П. Необычные уроки в начальной школе, М. 2008</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7. Никишина И. В. Интерактивные формы методического обучения. М. 2007.</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8.Образовательные технологии. Н.В. Полякова. Научно-практический журнал Завуч№ 5, 2005.</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9.Примерные программы по учебным предметам. Изобразительное искусство.5-7 классы.Музыка.5-7 классы.Искусство.8-9 классы.-М.Просвещение,2010.</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10.Развитие исследовательской деятельности учащихся Методический сборник. М. Народное образование, 2001.</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11. Романовская М. Б. Проекты в младших классах  Завуч начальной школы, 2007., №6.</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12.Сборник нормативных документов. Искусствосост.Э.Д.Днепров,А.Г.Аркадьев.-2-е изд.,-М.Дрофа,2008.</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13..Селевко Г.К Современные образовательные технологии. М, 1998</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14.Формирование ключевых компетентностей учащихся через проектную деятельность. под ред.С.С.Татарченковой. С-Пб. КАРО, 2008</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 xml:space="preserve">15. В. Г. Гульчевская Что должен знать педагог о современных образовательных технологиях практическое пособие. Издательство АРКТИ, 2010 </w:t>
      </w:r>
    </w:p>
    <w:p w:rsidR="00EF1F20" w:rsidRPr="00EF1F20" w:rsidRDefault="00EF1F20" w:rsidP="00EF1F20">
      <w:pPr>
        <w:widowControl w:val="0"/>
        <w:autoSpaceDE w:val="0"/>
        <w:autoSpaceDN w:val="0"/>
        <w:adjustRightInd w:val="0"/>
        <w:spacing w:after="200" w:line="276" w:lineRule="auto"/>
        <w:rPr>
          <w:rFonts w:ascii="Calibri" w:eastAsia="Times New Roman" w:hAnsi="Calibri" w:cs="Calibri"/>
          <w:lang w:eastAsia="ru-RU"/>
        </w:rPr>
      </w:pPr>
      <w:r w:rsidRPr="00EF1F20">
        <w:rPr>
          <w:rFonts w:ascii="Calibri" w:eastAsia="Times New Roman" w:hAnsi="Calibri" w:cs="Calibri"/>
          <w:lang w:eastAsia="ru-RU"/>
        </w:rPr>
        <w:t>16. Шликене Т. Н. Метод проектов как одно из условий повышения мотивации обучения учащихся, 2007 г.</w:t>
      </w:r>
    </w:p>
    <w:p w:rsidR="00037D8F" w:rsidRDefault="00037D8F">
      <w:bookmarkStart w:id="0" w:name="_GoBack"/>
      <w:bookmarkEnd w:id="0"/>
    </w:p>
    <w:sectPr w:rsidR="00037D8F">
      <w:footerReference w:type="default" r:id="rId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EA" w:rsidRDefault="00EF1F20">
    <w:pPr>
      <w:pStyle w:val="a3"/>
    </w:pPr>
    <w:r>
      <w:rPr>
        <w:noProof/>
        <w:lang w:eastAsia="ru-RU"/>
      </w:rPr>
      <mc:AlternateContent>
        <mc:Choice Requires="wps">
          <w:drawing>
            <wp:anchor distT="0" distB="0" distL="114300" distR="114300" simplePos="0" relativeHeight="251659264" behindDoc="0" locked="0" layoutInCell="0" allowOverlap="1">
              <wp:simplePos x="0" y="0"/>
              <wp:positionH relativeFrom="page">
                <wp:posOffset>7232650</wp:posOffset>
              </wp:positionH>
              <wp:positionV relativeFrom="page">
                <wp:posOffset>9367520</wp:posOffset>
              </wp:positionV>
              <wp:extent cx="368300" cy="274320"/>
              <wp:effectExtent l="0" t="0" r="0" b="0"/>
              <wp:wrapNone/>
              <wp:docPr id="1" name="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738EA" w:rsidRDefault="00EF1F20">
                          <w:pPr>
                            <w:jc w:val="center"/>
                          </w:pPr>
                          <w:r>
                            <w:fldChar w:fldCharType="begin"/>
                          </w:r>
                          <w:r>
                            <w:instrText>PAGE    \* MERGEFORMAT</w:instrText>
                          </w:r>
                          <w:r>
                            <w:fldChar w:fldCharType="separate"/>
                          </w:r>
                          <w:r w:rsidRPr="00EF1F20">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margin-left:569.5pt;margin-top:737.6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" o:allowincell="f" adj="14135" strokecolor="gray" strokeweight=".25pt">
              <v:textbox>
                <w:txbxContent>
                  <w:p w:rsidR="009738EA" w:rsidRDefault="00EF1F20">
                    <w:pPr>
                      <w:jc w:val="center"/>
                    </w:pPr>
                    <w:r>
                      <w:fldChar w:fldCharType="begin"/>
                    </w:r>
                    <w:r>
                      <w:instrText>PAGE    \* MERGEFORMAT</w:instrText>
                    </w:r>
                    <w:r>
                      <w:fldChar w:fldCharType="separate"/>
                    </w:r>
                    <w:r w:rsidRPr="00EF1F20">
                      <w:rPr>
                        <w:noProof/>
                        <w:sz w:val="16"/>
                        <w:szCs w:val="16"/>
                      </w:rPr>
                      <w:t>1</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CA"/>
    <w:rsid w:val="00037D8F"/>
    <w:rsid w:val="006F18CA"/>
    <w:rsid w:val="00EF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E227C4-BEB2-4B9B-8A69-7DE23EE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1F2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Труды</dc:creator>
  <cp:keywords/>
  <dc:description/>
  <cp:lastModifiedBy>Труды</cp:lastModifiedBy>
  <cp:revision>2</cp:revision>
  <dcterms:created xsi:type="dcterms:W3CDTF">2014-08-22T07:39:00Z</dcterms:created>
  <dcterms:modified xsi:type="dcterms:W3CDTF">2014-08-22T07:39:00Z</dcterms:modified>
</cp:coreProperties>
</file>